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A543F" w14:textId="08D17E89" w:rsidR="00BA5F03" w:rsidRDefault="00DC692D" w:rsidP="00B127FB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  <w:tab w:val="left" w:pos="4589"/>
        </w:tabs>
        <w:ind w:left="567" w:right="283"/>
        <w:rPr>
          <w:color w:val="6E7893"/>
          <w:sz w:val="20"/>
          <w:szCs w:val="20"/>
        </w:rPr>
      </w:pPr>
      <w:r>
        <w:rPr>
          <w:color w:val="6E7893"/>
          <w:sz w:val="20"/>
          <w:szCs w:val="20"/>
        </w:rPr>
        <w:t>Nota de prensa</w:t>
      </w:r>
      <w:r>
        <w:rPr>
          <w:color w:val="6E7893"/>
          <w:sz w:val="20"/>
          <w:szCs w:val="20"/>
        </w:rPr>
        <w:tab/>
      </w:r>
      <w:r>
        <w:rPr>
          <w:color w:val="6E7893"/>
          <w:sz w:val="20"/>
          <w:szCs w:val="20"/>
        </w:rPr>
        <w:tab/>
      </w:r>
      <w:r>
        <w:rPr>
          <w:color w:val="6E7893"/>
          <w:sz w:val="20"/>
          <w:szCs w:val="20"/>
        </w:rPr>
        <w:tab/>
      </w:r>
      <w:r>
        <w:rPr>
          <w:color w:val="6E7893"/>
          <w:sz w:val="20"/>
          <w:szCs w:val="20"/>
        </w:rPr>
        <w:tab/>
      </w:r>
      <w:r w:rsidR="00B127FB">
        <w:rPr>
          <w:color w:val="6E7893"/>
          <w:sz w:val="20"/>
          <w:szCs w:val="20"/>
        </w:rPr>
        <w:tab/>
      </w:r>
      <w:r>
        <w:rPr>
          <w:color w:val="6E7893"/>
          <w:sz w:val="20"/>
          <w:szCs w:val="20"/>
        </w:rPr>
        <w:tab/>
      </w:r>
      <w:r>
        <w:rPr>
          <w:color w:val="6E7893"/>
          <w:sz w:val="20"/>
          <w:szCs w:val="20"/>
        </w:rPr>
        <w:tab/>
      </w:r>
      <w:r>
        <w:rPr>
          <w:color w:val="6E7893"/>
          <w:sz w:val="20"/>
          <w:szCs w:val="20"/>
        </w:rPr>
        <w:tab/>
      </w:r>
    </w:p>
    <w:p w14:paraId="31CEAF8F" w14:textId="77777777" w:rsidR="00BA5F03" w:rsidRDefault="00BA5F0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sz w:val="20"/>
          <w:szCs w:val="20"/>
        </w:rPr>
      </w:pPr>
    </w:p>
    <w:p w14:paraId="6131BD0A" w14:textId="77777777" w:rsidR="00BA5F03" w:rsidRDefault="00BA5F0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sz w:val="20"/>
          <w:szCs w:val="20"/>
        </w:rPr>
      </w:pPr>
    </w:p>
    <w:p w14:paraId="4C2E1C66" w14:textId="043A19A6" w:rsidR="00BA5F03" w:rsidRDefault="00DC692D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/>
          <w:color w:val="0066FF"/>
          <w:sz w:val="44"/>
          <w:szCs w:val="44"/>
        </w:rPr>
      </w:pPr>
      <w:r>
        <w:rPr>
          <w:b/>
          <w:color w:val="0066FF"/>
          <w:sz w:val="44"/>
          <w:szCs w:val="44"/>
        </w:rPr>
        <w:t xml:space="preserve">Telefónica </w:t>
      </w:r>
      <w:proofErr w:type="spellStart"/>
      <w:r>
        <w:rPr>
          <w:b/>
          <w:color w:val="0066FF"/>
          <w:sz w:val="44"/>
          <w:szCs w:val="44"/>
        </w:rPr>
        <w:t>Tech</w:t>
      </w:r>
      <w:proofErr w:type="spellEnd"/>
      <w:r>
        <w:rPr>
          <w:b/>
          <w:color w:val="0066FF"/>
          <w:sz w:val="44"/>
          <w:szCs w:val="44"/>
        </w:rPr>
        <w:t xml:space="preserve"> </w:t>
      </w:r>
      <w:r w:rsidR="001B522C">
        <w:rPr>
          <w:b/>
          <w:color w:val="0066FF"/>
          <w:sz w:val="44"/>
          <w:szCs w:val="44"/>
        </w:rPr>
        <w:t xml:space="preserve">adquiere </w:t>
      </w:r>
      <w:r w:rsidR="005662AA">
        <w:rPr>
          <w:b/>
          <w:color w:val="0066FF"/>
          <w:sz w:val="44"/>
          <w:szCs w:val="44"/>
        </w:rPr>
        <w:t>Incremental</w:t>
      </w:r>
      <w:r w:rsidR="00742F26">
        <w:rPr>
          <w:b/>
          <w:color w:val="0066FF"/>
          <w:sz w:val="44"/>
          <w:szCs w:val="44"/>
        </w:rPr>
        <w:t xml:space="preserve"> para</w:t>
      </w:r>
      <w:r w:rsidR="001B522C">
        <w:rPr>
          <w:b/>
          <w:color w:val="0066FF"/>
          <w:sz w:val="44"/>
          <w:szCs w:val="44"/>
        </w:rPr>
        <w:t xml:space="preserve"> </w:t>
      </w:r>
      <w:r w:rsidR="00125929">
        <w:rPr>
          <w:b/>
          <w:color w:val="0066FF"/>
          <w:sz w:val="44"/>
          <w:szCs w:val="44"/>
        </w:rPr>
        <w:t xml:space="preserve">reforzar su posición líder en el mercado IT de </w:t>
      </w:r>
      <w:r w:rsidR="00854705">
        <w:rPr>
          <w:b/>
          <w:color w:val="0066FF"/>
          <w:sz w:val="44"/>
          <w:szCs w:val="44"/>
        </w:rPr>
        <w:t>Reino Unido</w:t>
      </w:r>
    </w:p>
    <w:p w14:paraId="0F21B1FC" w14:textId="77777777" w:rsidR="001575A3" w:rsidRDefault="001575A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/>
          <w:color w:val="0066FF"/>
          <w:sz w:val="44"/>
          <w:szCs w:val="44"/>
        </w:rPr>
      </w:pPr>
    </w:p>
    <w:p w14:paraId="200440E2" w14:textId="77777777" w:rsidR="00BA5F03" w:rsidRDefault="00BA5F0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sz w:val="20"/>
          <w:szCs w:val="20"/>
        </w:rPr>
      </w:pPr>
    </w:p>
    <w:p w14:paraId="693FCC1E" w14:textId="6EC25AC9" w:rsidR="00125929" w:rsidRPr="007911CD" w:rsidRDefault="00125929" w:rsidP="005E71B1">
      <w:pPr>
        <w:pStyle w:val="ListaPrrafoTelefnica"/>
        <w:numPr>
          <w:ilvl w:val="0"/>
          <w:numId w:val="1"/>
        </w:numPr>
        <w:ind w:left="1276"/>
        <w:rPr>
          <w:rFonts w:asciiTheme="minorHAnsi" w:eastAsiaTheme="minorEastAsia" w:hAnsiTheme="minorHAnsi"/>
          <w:lang w:eastAsia="en-US"/>
        </w:rPr>
      </w:pPr>
      <w:r w:rsidRPr="007911CD">
        <w:rPr>
          <w:rFonts w:asciiTheme="minorHAnsi" w:eastAsiaTheme="minorEastAsia" w:hAnsiTheme="minorHAnsi"/>
          <w:lang w:eastAsia="en-US"/>
        </w:rPr>
        <w:t xml:space="preserve">Telefónica </w:t>
      </w:r>
      <w:proofErr w:type="spellStart"/>
      <w:r w:rsidRPr="007911CD">
        <w:rPr>
          <w:rFonts w:asciiTheme="minorHAnsi" w:eastAsiaTheme="minorEastAsia" w:hAnsiTheme="minorHAnsi"/>
          <w:lang w:eastAsia="en-US"/>
        </w:rPr>
        <w:t>Tech</w:t>
      </w:r>
      <w:proofErr w:type="spellEnd"/>
      <w:r w:rsidRPr="007911CD">
        <w:rPr>
          <w:rFonts w:asciiTheme="minorHAnsi" w:eastAsiaTheme="minorEastAsia" w:hAnsiTheme="minorHAnsi"/>
          <w:lang w:eastAsia="en-US"/>
        </w:rPr>
        <w:t xml:space="preserve"> adquiere Incremental, empresa líder en transformación digital y análisis de datos y socio de Microsoft, por </w:t>
      </w:r>
      <w:r w:rsidR="00A5351C">
        <w:rPr>
          <w:rFonts w:asciiTheme="minorHAnsi" w:eastAsiaTheme="minorEastAsia" w:hAnsiTheme="minorHAnsi"/>
          <w:lang w:eastAsia="en-US"/>
        </w:rPr>
        <w:t xml:space="preserve">hasta </w:t>
      </w:r>
      <w:r w:rsidRPr="007911CD">
        <w:rPr>
          <w:rFonts w:asciiTheme="minorHAnsi" w:eastAsiaTheme="minorEastAsia" w:hAnsiTheme="minorHAnsi"/>
          <w:lang w:eastAsia="en-US"/>
        </w:rPr>
        <w:t>175 millones de libras (unos 209 millones de euros)</w:t>
      </w:r>
      <w:r w:rsidR="00B61105">
        <w:rPr>
          <w:rFonts w:asciiTheme="minorHAnsi" w:eastAsiaTheme="minorEastAsia" w:hAnsiTheme="minorHAnsi"/>
          <w:lang w:eastAsia="en-US"/>
        </w:rPr>
        <w:t>.</w:t>
      </w:r>
    </w:p>
    <w:p w14:paraId="1DA45BD4" w14:textId="77777777" w:rsidR="00854705" w:rsidRPr="007911CD" w:rsidRDefault="00854705" w:rsidP="005E71B1">
      <w:pPr>
        <w:pStyle w:val="ListaPrrafoTelefnica"/>
        <w:ind w:left="1276"/>
        <w:rPr>
          <w:rFonts w:asciiTheme="minorHAnsi" w:eastAsiaTheme="minorEastAsia" w:hAnsiTheme="minorHAnsi"/>
          <w:lang w:eastAsia="en-US"/>
        </w:rPr>
      </w:pPr>
    </w:p>
    <w:p w14:paraId="040BF529" w14:textId="403FCB9C" w:rsidR="005E71B1" w:rsidRPr="005E71B1" w:rsidRDefault="00854705" w:rsidP="005E71B1">
      <w:pPr>
        <w:pStyle w:val="ListaPrrafoTelefnica"/>
        <w:numPr>
          <w:ilvl w:val="0"/>
          <w:numId w:val="1"/>
        </w:numPr>
        <w:ind w:left="1276"/>
        <w:rPr>
          <w:rFonts w:asciiTheme="minorHAnsi" w:eastAsiaTheme="minorEastAsia" w:hAnsiTheme="minorHAnsi"/>
          <w:lang w:eastAsia="en-US"/>
        </w:rPr>
      </w:pPr>
      <w:r w:rsidRPr="005E71B1">
        <w:rPr>
          <w:rFonts w:asciiTheme="minorHAnsi" w:eastAsiaTheme="minorEastAsia" w:hAnsiTheme="minorHAnsi"/>
          <w:lang w:eastAsia="en-US"/>
        </w:rPr>
        <w:t xml:space="preserve">Con esta nueva adquisición, Telefónica </w:t>
      </w:r>
      <w:proofErr w:type="spellStart"/>
      <w:r w:rsidRPr="005E71B1">
        <w:rPr>
          <w:rFonts w:asciiTheme="minorHAnsi" w:eastAsiaTheme="minorEastAsia" w:hAnsiTheme="minorHAnsi"/>
          <w:lang w:eastAsia="en-US"/>
        </w:rPr>
        <w:t>Tech</w:t>
      </w:r>
      <w:proofErr w:type="spellEnd"/>
      <w:r w:rsidRPr="005E71B1">
        <w:rPr>
          <w:rFonts w:asciiTheme="minorHAnsi" w:eastAsiaTheme="minorEastAsia" w:hAnsiTheme="minorHAnsi"/>
          <w:lang w:eastAsia="en-US"/>
        </w:rPr>
        <w:t xml:space="preserve"> UK&amp;I </w:t>
      </w:r>
      <w:r w:rsidR="005E71B1" w:rsidRPr="005E71B1">
        <w:rPr>
          <w:rFonts w:asciiTheme="minorHAnsi" w:eastAsiaTheme="minorEastAsia" w:hAnsiTheme="minorHAnsi"/>
          <w:lang w:eastAsia="en-US"/>
        </w:rPr>
        <w:t>aumenta significativamente su</w:t>
      </w:r>
      <w:r w:rsidRPr="005E71B1">
        <w:rPr>
          <w:rFonts w:asciiTheme="minorHAnsi" w:eastAsiaTheme="minorEastAsia" w:hAnsiTheme="minorHAnsi"/>
          <w:lang w:eastAsia="en-US"/>
        </w:rPr>
        <w:t xml:space="preserve"> escala</w:t>
      </w:r>
      <w:r w:rsidR="005E71B1" w:rsidRPr="005E71B1">
        <w:rPr>
          <w:rFonts w:asciiTheme="minorHAnsi" w:eastAsiaTheme="minorEastAsia" w:hAnsiTheme="minorHAnsi"/>
          <w:lang w:eastAsia="en-US"/>
        </w:rPr>
        <w:t xml:space="preserve"> en el Reino Unido y su oferta de tecnologías Microsoft, incluyendo 16 Competencias Gold y cinco </w:t>
      </w:r>
      <w:proofErr w:type="spellStart"/>
      <w:r w:rsidR="005E71B1" w:rsidRPr="005E71B1">
        <w:rPr>
          <w:rFonts w:asciiTheme="minorHAnsi" w:eastAsiaTheme="minorEastAsia" w:hAnsiTheme="minorHAnsi"/>
          <w:lang w:eastAsia="en-US"/>
        </w:rPr>
        <w:t>Advanced</w:t>
      </w:r>
      <w:proofErr w:type="spellEnd"/>
      <w:r w:rsidR="005E71B1" w:rsidRPr="005E71B1">
        <w:rPr>
          <w:rFonts w:asciiTheme="minorHAnsi" w:eastAsiaTheme="minorEastAsia" w:hAnsiTheme="minorHAnsi"/>
          <w:lang w:eastAsia="en-US"/>
        </w:rPr>
        <w:t xml:space="preserve"> </w:t>
      </w:r>
      <w:proofErr w:type="spellStart"/>
      <w:r w:rsidR="005E71B1" w:rsidRPr="005E71B1">
        <w:rPr>
          <w:rFonts w:asciiTheme="minorHAnsi" w:eastAsiaTheme="minorEastAsia" w:hAnsiTheme="minorHAnsi"/>
          <w:lang w:eastAsia="en-US"/>
        </w:rPr>
        <w:t>Specialisations</w:t>
      </w:r>
      <w:proofErr w:type="spellEnd"/>
      <w:r w:rsidR="005E71B1" w:rsidRPr="005E71B1">
        <w:rPr>
          <w:rFonts w:asciiTheme="minorHAnsi" w:eastAsiaTheme="minorEastAsia" w:hAnsiTheme="minorHAnsi"/>
          <w:lang w:eastAsia="en-US"/>
        </w:rPr>
        <w:t>, consolidando su posición de liderazgo en el mercado británico.</w:t>
      </w:r>
    </w:p>
    <w:p w14:paraId="5E7CD423" w14:textId="103B3E77" w:rsidR="00125929" w:rsidRPr="005E71B1" w:rsidRDefault="00125929" w:rsidP="005E71B1">
      <w:pPr>
        <w:pStyle w:val="ListaPrrafoTelefnica"/>
        <w:ind w:left="1276"/>
        <w:rPr>
          <w:rFonts w:asciiTheme="minorHAnsi" w:eastAsiaTheme="minorEastAsia" w:hAnsiTheme="minorHAnsi"/>
          <w:lang w:eastAsia="en-US"/>
        </w:rPr>
      </w:pPr>
    </w:p>
    <w:p w14:paraId="0A8B69AC" w14:textId="1B3C905F" w:rsidR="00BF0DF1" w:rsidRDefault="00BF0DF1" w:rsidP="7C66D645">
      <w:pPr>
        <w:pStyle w:val="ListaPrrafoTelefnica"/>
        <w:numPr>
          <w:ilvl w:val="0"/>
          <w:numId w:val="2"/>
        </w:numPr>
        <w:ind w:left="1276"/>
        <w:rPr>
          <w:rFonts w:asciiTheme="minorHAnsi" w:eastAsiaTheme="minorEastAsia" w:hAnsiTheme="minorHAnsi"/>
          <w:lang w:eastAsia="en-US"/>
        </w:rPr>
      </w:pPr>
      <w:r w:rsidRPr="7C66D645">
        <w:rPr>
          <w:rFonts w:asciiTheme="minorHAnsi" w:eastAsiaTheme="minorEastAsia" w:hAnsiTheme="minorHAnsi"/>
          <w:lang w:eastAsia="en-US"/>
        </w:rPr>
        <w:t xml:space="preserve">Los empleados de Incremental formarán parte de la creciente plantilla de Telefónica </w:t>
      </w:r>
      <w:proofErr w:type="spellStart"/>
      <w:r w:rsidRPr="7C66D645">
        <w:rPr>
          <w:rFonts w:asciiTheme="minorHAnsi" w:eastAsiaTheme="minorEastAsia" w:hAnsiTheme="minorHAnsi"/>
          <w:lang w:eastAsia="en-US"/>
        </w:rPr>
        <w:t>Tech</w:t>
      </w:r>
      <w:proofErr w:type="spellEnd"/>
      <w:r w:rsidRPr="7C66D645">
        <w:rPr>
          <w:rFonts w:asciiTheme="minorHAnsi" w:eastAsiaTheme="minorEastAsia" w:hAnsiTheme="minorHAnsi"/>
          <w:lang w:eastAsia="en-US"/>
        </w:rPr>
        <w:t xml:space="preserve"> UK&amp;I, que pasará a contar con unos 1.000 profesionales altamente cualificados.  </w:t>
      </w:r>
      <w:r w:rsidRPr="7C66D645">
        <w:t xml:space="preserve">De este modo, la filial británica aporta casi un 25% de la </w:t>
      </w:r>
      <w:r w:rsidRPr="7C66D645">
        <w:rPr>
          <w:rFonts w:asciiTheme="minorHAnsi" w:eastAsiaTheme="minorEastAsia" w:hAnsiTheme="minorHAnsi"/>
          <w:lang w:eastAsia="en-US"/>
        </w:rPr>
        <w:t xml:space="preserve">plantilla total de Telefónica </w:t>
      </w:r>
      <w:proofErr w:type="spellStart"/>
      <w:r w:rsidRPr="7C66D645">
        <w:rPr>
          <w:rFonts w:asciiTheme="minorHAnsi" w:eastAsiaTheme="minorEastAsia" w:hAnsiTheme="minorHAnsi"/>
          <w:lang w:eastAsia="en-US"/>
        </w:rPr>
        <w:t>Tech</w:t>
      </w:r>
      <w:proofErr w:type="spellEnd"/>
      <w:r w:rsidRPr="7C66D645">
        <w:rPr>
          <w:rFonts w:asciiTheme="minorHAnsi" w:eastAsiaTheme="minorEastAsia" w:hAnsiTheme="minorHAnsi"/>
          <w:lang w:eastAsia="en-US"/>
        </w:rPr>
        <w:t>.</w:t>
      </w:r>
    </w:p>
    <w:p w14:paraId="2DE61828" w14:textId="77777777" w:rsidR="00BA5F03" w:rsidRDefault="00BA5F03" w:rsidP="001261C8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1636" w:right="283"/>
        <w:rPr>
          <w:color w:val="6E7893"/>
          <w:sz w:val="20"/>
          <w:szCs w:val="20"/>
        </w:rPr>
      </w:pPr>
    </w:p>
    <w:p w14:paraId="4B6FD99E" w14:textId="77777777" w:rsidR="00BA5F03" w:rsidRDefault="00BA5F0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sz w:val="20"/>
          <w:szCs w:val="20"/>
        </w:rPr>
      </w:pPr>
    </w:p>
    <w:p w14:paraId="0783C734" w14:textId="306B0557" w:rsidR="00BD17C6" w:rsidRDefault="00DC692D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  <w:r>
        <w:rPr>
          <w:b/>
          <w:color w:val="6E7893"/>
        </w:rPr>
        <w:t xml:space="preserve">Madrid, </w:t>
      </w:r>
      <w:r w:rsidR="00CB6092" w:rsidRPr="00A30A8C">
        <w:rPr>
          <w:b/>
          <w:color w:val="6E7893"/>
        </w:rPr>
        <w:t>21</w:t>
      </w:r>
      <w:r w:rsidR="00F45D92" w:rsidRPr="00A30A8C">
        <w:rPr>
          <w:b/>
          <w:color w:val="6E7893"/>
        </w:rPr>
        <w:t xml:space="preserve"> </w:t>
      </w:r>
      <w:r w:rsidRPr="00A30A8C">
        <w:rPr>
          <w:b/>
          <w:color w:val="6E7893"/>
        </w:rPr>
        <w:t>de</w:t>
      </w:r>
      <w:r w:rsidR="0025776B" w:rsidRPr="00A30A8C">
        <w:rPr>
          <w:b/>
          <w:color w:val="6E7893"/>
        </w:rPr>
        <w:t xml:space="preserve"> marzo</w:t>
      </w:r>
      <w:r w:rsidRPr="00A30A8C">
        <w:rPr>
          <w:b/>
          <w:color w:val="6E7893"/>
        </w:rPr>
        <w:t xml:space="preserve"> 2022</w:t>
      </w:r>
      <w:r w:rsidRPr="00A30A8C">
        <w:rPr>
          <w:color w:val="6E7893"/>
        </w:rPr>
        <w:t>.</w:t>
      </w:r>
      <w:r>
        <w:rPr>
          <w:color w:val="6E7893"/>
        </w:rPr>
        <w:t xml:space="preserve"> </w:t>
      </w:r>
      <w:hyperlink r:id="rId12">
        <w:r>
          <w:rPr>
            <w:color w:val="0066FF"/>
            <w:u w:val="single"/>
          </w:rPr>
          <w:t xml:space="preserve">Telefónica </w:t>
        </w:r>
        <w:proofErr w:type="spellStart"/>
        <w:r>
          <w:rPr>
            <w:color w:val="0066FF"/>
            <w:u w:val="single"/>
          </w:rPr>
          <w:t>Tech</w:t>
        </w:r>
        <w:proofErr w:type="spellEnd"/>
      </w:hyperlink>
      <w:r>
        <w:rPr>
          <w:color w:val="6E7893"/>
        </w:rPr>
        <w:t xml:space="preserve"> </w:t>
      </w:r>
      <w:r w:rsidR="00BD17C6">
        <w:rPr>
          <w:color w:val="6E7893"/>
        </w:rPr>
        <w:t xml:space="preserve">ha firmado </w:t>
      </w:r>
      <w:r w:rsidR="00CB6092">
        <w:rPr>
          <w:color w:val="6E7893"/>
        </w:rPr>
        <w:t xml:space="preserve">y completado </w:t>
      </w:r>
      <w:r w:rsidR="00BD17C6">
        <w:rPr>
          <w:color w:val="6E7893"/>
        </w:rPr>
        <w:t>hoy la adquisición</w:t>
      </w:r>
      <w:r w:rsidR="00143A80">
        <w:rPr>
          <w:color w:val="6E7893"/>
        </w:rPr>
        <w:t xml:space="preserve"> </w:t>
      </w:r>
      <w:r w:rsidR="001261C8">
        <w:rPr>
          <w:color w:val="6E7893"/>
        </w:rPr>
        <w:t xml:space="preserve">de </w:t>
      </w:r>
      <w:r w:rsidR="00BD17C6">
        <w:rPr>
          <w:color w:val="6E7893"/>
        </w:rPr>
        <w:t xml:space="preserve">la empresa británica Incremental, </w:t>
      </w:r>
      <w:r w:rsidR="00180A03">
        <w:rPr>
          <w:color w:val="6E7893"/>
        </w:rPr>
        <w:t>uno de los socios de Microsoft</w:t>
      </w:r>
      <w:r w:rsidR="00B1276D">
        <w:rPr>
          <w:color w:val="6E7893"/>
        </w:rPr>
        <w:t xml:space="preserve"> </w:t>
      </w:r>
      <w:r w:rsidR="00180A03">
        <w:rPr>
          <w:color w:val="6E7893"/>
        </w:rPr>
        <w:t>de más rápido crecimiento de Reino Unido</w:t>
      </w:r>
      <w:r w:rsidR="001261C8">
        <w:rPr>
          <w:color w:val="6E7893"/>
        </w:rPr>
        <w:t xml:space="preserve">, </w:t>
      </w:r>
      <w:r w:rsidR="005E71B1" w:rsidRPr="005E71B1">
        <w:rPr>
          <w:color w:val="6E7893"/>
        </w:rPr>
        <w:t xml:space="preserve">por </w:t>
      </w:r>
      <w:r w:rsidR="00CB6092">
        <w:rPr>
          <w:color w:val="6E7893"/>
        </w:rPr>
        <w:t xml:space="preserve">hasta </w:t>
      </w:r>
      <w:r w:rsidR="005E71B1" w:rsidRPr="005E71B1">
        <w:rPr>
          <w:color w:val="6E7893"/>
        </w:rPr>
        <w:t xml:space="preserve">175 millones de libras (unos 209 millones de euros), </w:t>
      </w:r>
      <w:r w:rsidR="001F445D">
        <w:rPr>
          <w:color w:val="6E7893"/>
        </w:rPr>
        <w:t>incluyendo potenciales pagos contingentes vinculados a sus resultados futuros</w:t>
      </w:r>
      <w:r w:rsidR="005E71B1" w:rsidRPr="005E71B1">
        <w:rPr>
          <w:color w:val="6E7893"/>
        </w:rPr>
        <w:t xml:space="preserve">. </w:t>
      </w:r>
      <w:r w:rsidR="00180A03">
        <w:rPr>
          <w:color w:val="6E7893"/>
        </w:rPr>
        <w:t xml:space="preserve">Telefónica </w:t>
      </w:r>
      <w:proofErr w:type="spellStart"/>
      <w:r w:rsidR="00180A03">
        <w:rPr>
          <w:color w:val="6E7893"/>
        </w:rPr>
        <w:t>Tech</w:t>
      </w:r>
      <w:proofErr w:type="spellEnd"/>
      <w:r w:rsidR="00180A03">
        <w:rPr>
          <w:color w:val="6E7893"/>
        </w:rPr>
        <w:t xml:space="preserve"> fortalece </w:t>
      </w:r>
      <w:r w:rsidR="00E95D81">
        <w:rPr>
          <w:color w:val="6E7893"/>
        </w:rPr>
        <w:t xml:space="preserve">así </w:t>
      </w:r>
      <w:r w:rsidR="00180A03">
        <w:rPr>
          <w:color w:val="6E7893"/>
        </w:rPr>
        <w:t xml:space="preserve">sus capacidades y su presencia en </w:t>
      </w:r>
      <w:r w:rsidR="00CB6092">
        <w:rPr>
          <w:color w:val="6E7893"/>
        </w:rPr>
        <w:t>Reino Unido e Irlanda</w:t>
      </w:r>
      <w:r w:rsidR="00180A03">
        <w:rPr>
          <w:color w:val="6E7893"/>
        </w:rPr>
        <w:t>, donde opera bajo la marca Telefónica</w:t>
      </w:r>
      <w:r w:rsidR="00B1276D">
        <w:rPr>
          <w:color w:val="6E7893"/>
        </w:rPr>
        <w:t xml:space="preserve"> </w:t>
      </w:r>
      <w:proofErr w:type="spellStart"/>
      <w:r w:rsidR="00B1276D">
        <w:rPr>
          <w:color w:val="6E7893"/>
        </w:rPr>
        <w:t>Tech</w:t>
      </w:r>
      <w:proofErr w:type="spellEnd"/>
      <w:r w:rsidR="00180A03">
        <w:rPr>
          <w:color w:val="6E7893"/>
        </w:rPr>
        <w:t xml:space="preserve"> UK&amp;I.</w:t>
      </w:r>
    </w:p>
    <w:p w14:paraId="6005AF78" w14:textId="16FD7145" w:rsidR="00180A03" w:rsidRDefault="00180A0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3F19B92D" w14:textId="49A3BCF5" w:rsidR="00180A03" w:rsidRDefault="005151BC" w:rsidP="00180A0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  <w:r>
        <w:rPr>
          <w:color w:val="6E7893"/>
        </w:rPr>
        <w:t>En el mercado desde 2016</w:t>
      </w:r>
      <w:r w:rsidR="005E71B1" w:rsidRPr="005E71B1">
        <w:rPr>
          <w:color w:val="6E7893"/>
        </w:rPr>
        <w:t xml:space="preserve">, Incremental </w:t>
      </w:r>
      <w:proofErr w:type="spellStart"/>
      <w:r w:rsidR="005E71B1" w:rsidRPr="005E71B1">
        <w:rPr>
          <w:color w:val="6E7893"/>
        </w:rPr>
        <w:t>Group</w:t>
      </w:r>
      <w:proofErr w:type="spellEnd"/>
      <w:r w:rsidR="005E71B1" w:rsidRPr="005E71B1">
        <w:rPr>
          <w:color w:val="6E7893"/>
        </w:rPr>
        <w:t xml:space="preserve"> tiene dos áreas </w:t>
      </w:r>
      <w:r w:rsidR="00CD08BE">
        <w:rPr>
          <w:color w:val="6E7893"/>
        </w:rPr>
        <w:t xml:space="preserve">clave </w:t>
      </w:r>
      <w:r w:rsidR="005E71B1" w:rsidRPr="005E71B1">
        <w:rPr>
          <w:color w:val="6E7893"/>
        </w:rPr>
        <w:t xml:space="preserve">de negocio especializadas. Es uno de los principales socios de Microsoft Dynamics en el Reino Unido y también es un actor importante en el </w:t>
      </w:r>
      <w:bookmarkStart w:id="0" w:name="_GoBack"/>
      <w:r w:rsidR="005E71B1" w:rsidRPr="005E71B1">
        <w:rPr>
          <w:color w:val="6E7893"/>
        </w:rPr>
        <w:t>mercado de datos y análisis.</w:t>
      </w:r>
      <w:r w:rsidR="00180A03">
        <w:rPr>
          <w:color w:val="6E7893"/>
        </w:rPr>
        <w:t xml:space="preserve"> Ha sido elegida g</w:t>
      </w:r>
      <w:r w:rsidR="00180A03" w:rsidRPr="00180A03">
        <w:rPr>
          <w:color w:val="6E7893"/>
        </w:rPr>
        <w:t>anador</w:t>
      </w:r>
      <w:r w:rsidR="00180A03">
        <w:rPr>
          <w:color w:val="6E7893"/>
        </w:rPr>
        <w:t>a</w:t>
      </w:r>
      <w:r w:rsidR="00180A03" w:rsidRPr="00180A03">
        <w:rPr>
          <w:color w:val="6E7893"/>
        </w:rPr>
        <w:t xml:space="preserve"> del premio Microsoft Business </w:t>
      </w:r>
      <w:proofErr w:type="spellStart"/>
      <w:r w:rsidR="00180A03" w:rsidRPr="00180A03">
        <w:rPr>
          <w:color w:val="6E7893"/>
        </w:rPr>
        <w:t>A</w:t>
      </w:r>
      <w:bookmarkEnd w:id="0"/>
      <w:r w:rsidR="00180A03" w:rsidRPr="00180A03">
        <w:rPr>
          <w:color w:val="6E7893"/>
        </w:rPr>
        <w:t>pplications</w:t>
      </w:r>
      <w:proofErr w:type="spellEnd"/>
      <w:r w:rsidR="00180A03" w:rsidRPr="00180A03">
        <w:rPr>
          <w:color w:val="6E7893"/>
        </w:rPr>
        <w:t xml:space="preserve"> </w:t>
      </w:r>
      <w:proofErr w:type="spellStart"/>
      <w:r w:rsidR="00180A03" w:rsidRPr="00180A03">
        <w:rPr>
          <w:color w:val="6E7893"/>
        </w:rPr>
        <w:t>Inner</w:t>
      </w:r>
      <w:proofErr w:type="spellEnd"/>
      <w:r w:rsidR="00180A03" w:rsidRPr="00180A03">
        <w:rPr>
          <w:color w:val="6E7893"/>
        </w:rPr>
        <w:t xml:space="preserve"> </w:t>
      </w:r>
      <w:proofErr w:type="spellStart"/>
      <w:r w:rsidR="00180A03" w:rsidRPr="00180A03">
        <w:rPr>
          <w:color w:val="6E7893"/>
        </w:rPr>
        <w:t>Circle</w:t>
      </w:r>
      <w:proofErr w:type="spellEnd"/>
      <w:r w:rsidR="00180A03" w:rsidRPr="00180A03">
        <w:rPr>
          <w:color w:val="6E7893"/>
        </w:rPr>
        <w:t xml:space="preserve"> durante los últimos tres años y </w:t>
      </w:r>
      <w:r w:rsidR="005E71B1" w:rsidRPr="005E71B1">
        <w:rPr>
          <w:color w:val="6E7893"/>
        </w:rPr>
        <w:t>es uno de los dos únicos socios de EMEA en el Consejo Asesor Global de Microsoft para el análisis de datos</w:t>
      </w:r>
      <w:r w:rsidR="00CD08BE">
        <w:rPr>
          <w:color w:val="6E7893"/>
        </w:rPr>
        <w:t>.</w:t>
      </w:r>
    </w:p>
    <w:p w14:paraId="1D35058A" w14:textId="77777777" w:rsidR="00180A03" w:rsidRDefault="00180A03" w:rsidP="00180A0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3AA9234D" w14:textId="35F50DDD" w:rsidR="00180A03" w:rsidRPr="008B2EE8" w:rsidRDefault="00180A03" w:rsidP="00180A0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  <w:r w:rsidRPr="00180A03">
        <w:rPr>
          <w:color w:val="6E7893"/>
        </w:rPr>
        <w:t>Incremental ha experimentado un importante crecimiento orgánico e inorgánico en los últimos años</w:t>
      </w:r>
      <w:r>
        <w:rPr>
          <w:color w:val="6E7893"/>
        </w:rPr>
        <w:t xml:space="preserve">. </w:t>
      </w:r>
      <w:r w:rsidR="00570FA1">
        <w:rPr>
          <w:color w:val="6E7893"/>
        </w:rPr>
        <w:t>A</w:t>
      </w:r>
      <w:r w:rsidR="00570FA1" w:rsidRPr="008B2EE8">
        <w:rPr>
          <w:color w:val="6E7893"/>
        </w:rPr>
        <w:t xml:space="preserve"> principios de 2021, </w:t>
      </w:r>
      <w:r w:rsidR="001575A3">
        <w:rPr>
          <w:color w:val="6E7893"/>
        </w:rPr>
        <w:t xml:space="preserve">Incremental </w:t>
      </w:r>
      <w:r w:rsidR="00570FA1">
        <w:rPr>
          <w:color w:val="6E7893"/>
        </w:rPr>
        <w:t>compró</w:t>
      </w:r>
      <w:r w:rsidR="00570FA1" w:rsidRPr="008B2EE8">
        <w:rPr>
          <w:color w:val="6E7893"/>
        </w:rPr>
        <w:t xml:space="preserve"> </w:t>
      </w:r>
      <w:proofErr w:type="spellStart"/>
      <w:r w:rsidR="00570FA1" w:rsidRPr="008B2EE8">
        <w:rPr>
          <w:color w:val="6E7893"/>
        </w:rPr>
        <w:t>Redspire</w:t>
      </w:r>
      <w:proofErr w:type="spellEnd"/>
      <w:r w:rsidR="00570FA1">
        <w:rPr>
          <w:color w:val="6E7893"/>
        </w:rPr>
        <w:t xml:space="preserve"> para ampliar</w:t>
      </w:r>
      <w:r w:rsidR="00570FA1" w:rsidRPr="008B2EE8">
        <w:rPr>
          <w:color w:val="6E7893"/>
        </w:rPr>
        <w:t xml:space="preserve"> sus capacidades en el mercado de los servicios financieros y </w:t>
      </w:r>
      <w:r w:rsidR="00570FA1">
        <w:rPr>
          <w:color w:val="6E7893"/>
        </w:rPr>
        <w:t>convertirse</w:t>
      </w:r>
      <w:r w:rsidR="00570FA1" w:rsidRPr="008B2EE8">
        <w:rPr>
          <w:color w:val="6E7893"/>
        </w:rPr>
        <w:t xml:space="preserve"> en uno de los mayores socios de Microsoft Dynamics en el Reino Unido.</w:t>
      </w:r>
      <w:r w:rsidR="00570FA1">
        <w:rPr>
          <w:color w:val="6E7893"/>
        </w:rPr>
        <w:t xml:space="preserve"> </w:t>
      </w:r>
      <w:r w:rsidRPr="008B2EE8">
        <w:rPr>
          <w:color w:val="6E7893"/>
        </w:rPr>
        <w:t xml:space="preserve">En octubre de 2021, adquirió la empresa de análisis de datos </w:t>
      </w:r>
      <w:proofErr w:type="spellStart"/>
      <w:r w:rsidRPr="008B2EE8">
        <w:rPr>
          <w:color w:val="6E7893"/>
        </w:rPr>
        <w:t>Adatis</w:t>
      </w:r>
      <w:proofErr w:type="spellEnd"/>
      <w:r w:rsidRPr="008B2EE8">
        <w:rPr>
          <w:color w:val="6E7893"/>
        </w:rPr>
        <w:t xml:space="preserve">, </w:t>
      </w:r>
      <w:r w:rsidR="009F46E1">
        <w:rPr>
          <w:color w:val="6E7893"/>
        </w:rPr>
        <w:t xml:space="preserve">lo que permitió ofrecer una propuesta </w:t>
      </w:r>
      <w:r w:rsidR="00744221">
        <w:rPr>
          <w:color w:val="6E7893"/>
        </w:rPr>
        <w:t xml:space="preserve">integral de </w:t>
      </w:r>
      <w:r w:rsidR="009F46E1">
        <w:rPr>
          <w:color w:val="6E7893"/>
        </w:rPr>
        <w:t xml:space="preserve">transformación digital </w:t>
      </w:r>
      <w:r w:rsidR="00744221">
        <w:rPr>
          <w:color w:val="6E7893"/>
        </w:rPr>
        <w:t>a los clientes del grupo</w:t>
      </w:r>
      <w:r w:rsidR="009F46E1">
        <w:rPr>
          <w:color w:val="6E7893"/>
        </w:rPr>
        <w:t xml:space="preserve">. </w:t>
      </w:r>
    </w:p>
    <w:p w14:paraId="6897E5FE" w14:textId="77777777" w:rsidR="00896789" w:rsidRDefault="00896789" w:rsidP="00180A0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0E48B998" w14:textId="2D2893C8" w:rsidR="008B2EE8" w:rsidRDefault="008B2EE8" w:rsidP="00180A0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  <w:r>
        <w:rPr>
          <w:color w:val="6E7893"/>
        </w:rPr>
        <w:t xml:space="preserve">Su sede se encuentra en Glasgow, aunque tienen oficinas en todo Reino Unido, además de contar con capacidades en Bulgaria e India. En total cuenta con </w:t>
      </w:r>
      <w:r w:rsidR="00B1276D">
        <w:rPr>
          <w:color w:val="6E7893"/>
        </w:rPr>
        <w:t>más de 3</w:t>
      </w:r>
      <w:r w:rsidR="005E71B1">
        <w:rPr>
          <w:color w:val="6E7893"/>
        </w:rPr>
        <w:t>5</w:t>
      </w:r>
      <w:r w:rsidR="00B1276D">
        <w:rPr>
          <w:color w:val="6E7893"/>
        </w:rPr>
        <w:t xml:space="preserve">0 </w:t>
      </w:r>
      <w:r>
        <w:rPr>
          <w:color w:val="6E7893"/>
        </w:rPr>
        <w:t>empleados que</w:t>
      </w:r>
      <w:r w:rsidR="00B61105">
        <w:rPr>
          <w:color w:val="6E7893"/>
        </w:rPr>
        <w:t xml:space="preserve"> elevan de este modo la plantilla de</w:t>
      </w:r>
      <w:r>
        <w:rPr>
          <w:color w:val="6E7893"/>
        </w:rPr>
        <w:t xml:space="preserve"> Telefónica </w:t>
      </w:r>
      <w:proofErr w:type="spellStart"/>
      <w:r>
        <w:rPr>
          <w:color w:val="6E7893"/>
        </w:rPr>
        <w:t>Tech</w:t>
      </w:r>
      <w:proofErr w:type="spellEnd"/>
      <w:r>
        <w:rPr>
          <w:color w:val="6E7893"/>
        </w:rPr>
        <w:t xml:space="preserve"> UK&amp;I </w:t>
      </w:r>
      <w:r w:rsidR="00B61105">
        <w:rPr>
          <w:color w:val="6E7893"/>
        </w:rPr>
        <w:t xml:space="preserve">a cerca de </w:t>
      </w:r>
      <w:r>
        <w:rPr>
          <w:color w:val="6E7893"/>
        </w:rPr>
        <w:t>1</w:t>
      </w:r>
      <w:r w:rsidR="00B127FB">
        <w:rPr>
          <w:color w:val="6E7893"/>
        </w:rPr>
        <w:t>.</w:t>
      </w:r>
      <w:r>
        <w:rPr>
          <w:color w:val="6E7893"/>
        </w:rPr>
        <w:t>000</w:t>
      </w:r>
      <w:r w:rsidR="00B127FB">
        <w:rPr>
          <w:color w:val="6E7893"/>
        </w:rPr>
        <w:t xml:space="preserve"> </w:t>
      </w:r>
      <w:r w:rsidR="00570FA1">
        <w:rPr>
          <w:color w:val="6E7893"/>
        </w:rPr>
        <w:t>trabajadores</w:t>
      </w:r>
      <w:r w:rsidR="00B61105">
        <w:rPr>
          <w:color w:val="6E7893"/>
        </w:rPr>
        <w:t>. De este modo, la filial británica aporta casi un</w:t>
      </w:r>
      <w:r w:rsidR="00B127FB">
        <w:rPr>
          <w:color w:val="6E7893"/>
        </w:rPr>
        <w:t xml:space="preserve"> </w:t>
      </w:r>
      <w:r>
        <w:rPr>
          <w:color w:val="6E7893"/>
        </w:rPr>
        <w:t>25% de la plantilla global de</w:t>
      </w:r>
      <w:r w:rsidR="00B1276D">
        <w:rPr>
          <w:color w:val="6E7893"/>
        </w:rPr>
        <w:t xml:space="preserve"> Telefónica </w:t>
      </w:r>
      <w:proofErr w:type="spellStart"/>
      <w:r w:rsidR="00B1276D">
        <w:rPr>
          <w:color w:val="6E7893"/>
        </w:rPr>
        <w:t>Tech</w:t>
      </w:r>
      <w:proofErr w:type="spellEnd"/>
      <w:r w:rsidR="00B1276D">
        <w:rPr>
          <w:color w:val="6E7893"/>
        </w:rPr>
        <w:t xml:space="preserve">. </w:t>
      </w:r>
    </w:p>
    <w:p w14:paraId="6BF4C1DB" w14:textId="77777777" w:rsidR="00B61105" w:rsidRDefault="00B61105" w:rsidP="00180A0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0E27C05A" w14:textId="77777777" w:rsidR="00B61105" w:rsidRDefault="00B61105" w:rsidP="00180A0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27BDEFE3" w14:textId="7C29C43A" w:rsidR="00B61105" w:rsidRPr="006B19E3" w:rsidRDefault="00B61105" w:rsidP="00180A0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/>
          <w:color w:val="0066FF" w:themeColor="text2"/>
        </w:rPr>
      </w:pPr>
      <w:r w:rsidRPr="006B19E3">
        <w:rPr>
          <w:b/>
          <w:color w:val="0066FF" w:themeColor="text2"/>
        </w:rPr>
        <w:t>Uno de los mayores socios de Microsoft en Reino Unido</w:t>
      </w:r>
    </w:p>
    <w:p w14:paraId="260AFB43" w14:textId="77777777" w:rsidR="00B61105" w:rsidRDefault="00B61105" w:rsidP="00180A0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45EFD053" w14:textId="6F585F0D" w:rsidR="00B61105" w:rsidRDefault="00B61105" w:rsidP="00180A0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  <w:r>
        <w:rPr>
          <w:color w:val="6E7893"/>
        </w:rPr>
        <w:t>El importe de la operación supone valorar la compañía a 13,7 veces su resultado bruto de explotación (EV/OIBDA) y a 14,2 veces su flujo de caja operativo (EV/</w:t>
      </w:r>
      <w:proofErr w:type="spellStart"/>
      <w:r>
        <w:rPr>
          <w:color w:val="6E7893"/>
        </w:rPr>
        <w:t>OpCF</w:t>
      </w:r>
      <w:proofErr w:type="spellEnd"/>
      <w:r>
        <w:rPr>
          <w:color w:val="6E7893"/>
        </w:rPr>
        <w:t>)</w:t>
      </w:r>
      <w:r w:rsidR="006C47F2">
        <w:rPr>
          <w:color w:val="6E7893"/>
        </w:rPr>
        <w:t>, en base a sus resultados previstos para el próximo ejercicio y excluyendo potenciales sinergias</w:t>
      </w:r>
      <w:r>
        <w:rPr>
          <w:color w:val="6E7893"/>
        </w:rPr>
        <w:t>.</w:t>
      </w:r>
    </w:p>
    <w:p w14:paraId="47F91EDC" w14:textId="77777777" w:rsidR="008B2EE8" w:rsidRDefault="008B2EE8" w:rsidP="00180A0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7084AE9D" w14:textId="4C63924E" w:rsidR="008B2EE8" w:rsidRDefault="005E71B1" w:rsidP="00180A0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  <w:r>
        <w:rPr>
          <w:color w:val="6E7893"/>
        </w:rPr>
        <w:t>C</w:t>
      </w:r>
      <w:r w:rsidR="008B2EE8">
        <w:rPr>
          <w:color w:val="6E7893"/>
        </w:rPr>
        <w:t xml:space="preserve">on esta nueva adquisición Telefónica </w:t>
      </w:r>
      <w:proofErr w:type="spellStart"/>
      <w:r w:rsidR="008B2EE8">
        <w:rPr>
          <w:color w:val="6E7893"/>
        </w:rPr>
        <w:t>Tech</w:t>
      </w:r>
      <w:proofErr w:type="spellEnd"/>
      <w:r w:rsidR="008B2EE8">
        <w:rPr>
          <w:color w:val="6E7893"/>
        </w:rPr>
        <w:t xml:space="preserve"> a</w:t>
      </w:r>
      <w:r w:rsidR="008B2EE8" w:rsidRPr="008B2EE8">
        <w:rPr>
          <w:color w:val="6E7893"/>
        </w:rPr>
        <w:t>umenta significativamente la escala y las competencias en las tecnologías</w:t>
      </w:r>
      <w:r w:rsidR="008B2EE8">
        <w:rPr>
          <w:color w:val="6E7893"/>
        </w:rPr>
        <w:t xml:space="preserve"> de Microsoft, </w:t>
      </w:r>
      <w:r>
        <w:rPr>
          <w:color w:val="6E7893"/>
        </w:rPr>
        <w:t>convirtiéndole en uno de los mayores socios</w:t>
      </w:r>
      <w:r w:rsidR="008B2EE8" w:rsidRPr="008B2EE8">
        <w:rPr>
          <w:color w:val="6E7893"/>
        </w:rPr>
        <w:t xml:space="preserve"> de Microsoft </w:t>
      </w:r>
      <w:r>
        <w:rPr>
          <w:color w:val="6E7893"/>
        </w:rPr>
        <w:t>en Reino Unido, c</w:t>
      </w:r>
      <w:r w:rsidRPr="005E71B1">
        <w:rPr>
          <w:color w:val="6E7893"/>
        </w:rPr>
        <w:t xml:space="preserve">on 16 competencias Gold y 5 </w:t>
      </w:r>
      <w:proofErr w:type="spellStart"/>
      <w:r w:rsidRPr="005E71B1">
        <w:rPr>
          <w:color w:val="6E7893"/>
        </w:rPr>
        <w:t>Advanced</w:t>
      </w:r>
      <w:proofErr w:type="spellEnd"/>
      <w:r w:rsidRPr="005E71B1">
        <w:rPr>
          <w:color w:val="6E7893"/>
        </w:rPr>
        <w:t xml:space="preserve"> </w:t>
      </w:r>
      <w:proofErr w:type="spellStart"/>
      <w:r w:rsidRPr="005E71B1">
        <w:rPr>
          <w:color w:val="6E7893"/>
        </w:rPr>
        <w:t>Specialisations</w:t>
      </w:r>
      <w:proofErr w:type="spellEnd"/>
      <w:r w:rsidRPr="005E71B1">
        <w:rPr>
          <w:color w:val="6E7893"/>
        </w:rPr>
        <w:t xml:space="preserve">. Con estas capacidades, Telefónica </w:t>
      </w:r>
      <w:proofErr w:type="spellStart"/>
      <w:r w:rsidRPr="005E71B1">
        <w:rPr>
          <w:color w:val="6E7893"/>
        </w:rPr>
        <w:t>Tech</w:t>
      </w:r>
      <w:proofErr w:type="spellEnd"/>
      <w:r w:rsidRPr="005E71B1">
        <w:rPr>
          <w:color w:val="6E7893"/>
        </w:rPr>
        <w:t xml:space="preserve"> consolida su posición de liderazgo en el mercado del Reino Unido, considerado el mayor mercado de servicios de TI de Europa y el de más rápido crecimiento</w:t>
      </w:r>
      <w:r w:rsidR="00FF271B">
        <w:rPr>
          <w:color w:val="6E7893"/>
        </w:rPr>
        <w:t>.</w:t>
      </w:r>
    </w:p>
    <w:p w14:paraId="6B72B32C" w14:textId="77777777" w:rsidR="00180A03" w:rsidRDefault="00180A03" w:rsidP="00180A0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0E7ADAAE" w14:textId="5943C9C8" w:rsidR="006458E2" w:rsidRDefault="006458E2" w:rsidP="00F94604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  <w:r>
        <w:rPr>
          <w:color w:val="6E7893"/>
        </w:rPr>
        <w:t xml:space="preserve">La incorporación </w:t>
      </w:r>
      <w:r w:rsidRPr="006458E2">
        <w:rPr>
          <w:color w:val="6E7893"/>
        </w:rPr>
        <w:t>de las capacidades</w:t>
      </w:r>
      <w:r w:rsidR="00F94604">
        <w:rPr>
          <w:color w:val="6E7893"/>
        </w:rPr>
        <w:t xml:space="preserve"> de</w:t>
      </w:r>
      <w:r w:rsidR="005E71B1">
        <w:rPr>
          <w:color w:val="6E7893"/>
        </w:rPr>
        <w:t xml:space="preserve"> </w:t>
      </w:r>
      <w:r w:rsidR="005151BC">
        <w:rPr>
          <w:color w:val="6E7893"/>
        </w:rPr>
        <w:t>a</w:t>
      </w:r>
      <w:r w:rsidR="005E71B1">
        <w:rPr>
          <w:color w:val="6E7893"/>
        </w:rPr>
        <w:t xml:space="preserve">plicaciones </w:t>
      </w:r>
      <w:r w:rsidR="005151BC">
        <w:rPr>
          <w:color w:val="6E7893"/>
        </w:rPr>
        <w:t>e</w:t>
      </w:r>
      <w:r w:rsidR="005E71B1">
        <w:rPr>
          <w:color w:val="6E7893"/>
        </w:rPr>
        <w:t>mpresariales,</w:t>
      </w:r>
      <w:r w:rsidRPr="006458E2">
        <w:rPr>
          <w:color w:val="6E7893"/>
        </w:rPr>
        <w:t xml:space="preserve"> </w:t>
      </w:r>
      <w:proofErr w:type="spellStart"/>
      <w:r w:rsidR="005151BC">
        <w:rPr>
          <w:color w:val="6E7893"/>
        </w:rPr>
        <w:t>p</w:t>
      </w:r>
      <w:r w:rsidRPr="006458E2">
        <w:rPr>
          <w:color w:val="6E7893"/>
        </w:rPr>
        <w:t>ower</w:t>
      </w:r>
      <w:proofErr w:type="spellEnd"/>
      <w:r w:rsidRPr="006458E2">
        <w:rPr>
          <w:color w:val="6E7893"/>
        </w:rPr>
        <w:t xml:space="preserve"> </w:t>
      </w:r>
      <w:r w:rsidR="005151BC">
        <w:rPr>
          <w:color w:val="6E7893"/>
        </w:rPr>
        <w:t>a</w:t>
      </w:r>
      <w:r w:rsidRPr="006458E2">
        <w:rPr>
          <w:color w:val="6E7893"/>
        </w:rPr>
        <w:t>pp</w:t>
      </w:r>
      <w:r>
        <w:rPr>
          <w:color w:val="6E7893"/>
        </w:rPr>
        <w:t xml:space="preserve">s, </w:t>
      </w:r>
      <w:r w:rsidR="005151BC">
        <w:rPr>
          <w:color w:val="6E7893"/>
        </w:rPr>
        <w:t>d</w:t>
      </w:r>
      <w:r>
        <w:rPr>
          <w:color w:val="6E7893"/>
        </w:rPr>
        <w:t xml:space="preserve">ata </w:t>
      </w:r>
      <w:proofErr w:type="spellStart"/>
      <w:r w:rsidR="005151BC">
        <w:rPr>
          <w:color w:val="6E7893"/>
        </w:rPr>
        <w:t>a</w:t>
      </w:r>
      <w:r>
        <w:rPr>
          <w:color w:val="6E7893"/>
        </w:rPr>
        <w:t>nalytics</w:t>
      </w:r>
      <w:proofErr w:type="spellEnd"/>
      <w:r>
        <w:rPr>
          <w:color w:val="6E7893"/>
        </w:rPr>
        <w:t xml:space="preserve"> y </w:t>
      </w:r>
      <w:proofErr w:type="spellStart"/>
      <w:r w:rsidR="005151BC" w:rsidRPr="005455C5">
        <w:rPr>
          <w:i/>
          <w:iCs/>
          <w:color w:val="6E7893"/>
        </w:rPr>
        <w:t>m</w:t>
      </w:r>
      <w:r w:rsidRPr="005455C5">
        <w:rPr>
          <w:i/>
          <w:iCs/>
          <w:color w:val="6E7893"/>
        </w:rPr>
        <w:t>anagement</w:t>
      </w:r>
      <w:proofErr w:type="spellEnd"/>
      <w:r>
        <w:rPr>
          <w:color w:val="6E7893"/>
        </w:rPr>
        <w:t xml:space="preserve"> que tiene</w:t>
      </w:r>
      <w:r w:rsidRPr="006458E2">
        <w:rPr>
          <w:color w:val="6E7893"/>
        </w:rPr>
        <w:t xml:space="preserve"> Incremental a la cartera de servicios en la nube de</w:t>
      </w:r>
      <w:r>
        <w:rPr>
          <w:color w:val="6E7893"/>
        </w:rPr>
        <w:t xml:space="preserve"> Telefónica </w:t>
      </w:r>
      <w:proofErr w:type="spellStart"/>
      <w:r>
        <w:rPr>
          <w:color w:val="6E7893"/>
        </w:rPr>
        <w:t>Tech</w:t>
      </w:r>
      <w:proofErr w:type="spellEnd"/>
      <w:r>
        <w:rPr>
          <w:color w:val="6E7893"/>
        </w:rPr>
        <w:t xml:space="preserve"> UK&amp;I le permitirá tener una oferta en la nube de extremo a extremo</w:t>
      </w:r>
      <w:r w:rsidR="00854705">
        <w:rPr>
          <w:color w:val="6E7893"/>
        </w:rPr>
        <w:t xml:space="preserve"> para clientes medianos, </w:t>
      </w:r>
      <w:r w:rsidR="00B1276D">
        <w:rPr>
          <w:color w:val="6E7893"/>
        </w:rPr>
        <w:t xml:space="preserve">grandes empresas </w:t>
      </w:r>
      <w:r w:rsidR="00854705">
        <w:rPr>
          <w:color w:val="6E7893"/>
        </w:rPr>
        <w:t>y Administraciones Públicas</w:t>
      </w:r>
      <w:r>
        <w:rPr>
          <w:color w:val="6E7893"/>
        </w:rPr>
        <w:t>.</w:t>
      </w:r>
    </w:p>
    <w:p w14:paraId="1FA40BF0" w14:textId="77777777" w:rsidR="006458E2" w:rsidRDefault="006458E2" w:rsidP="00180A0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5C969C47" w14:textId="139C157A" w:rsidR="006458E2" w:rsidRDefault="006458E2" w:rsidP="006458E2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  <w:r>
        <w:rPr>
          <w:color w:val="6E7893"/>
        </w:rPr>
        <w:t>Jos</w:t>
      </w:r>
      <w:r w:rsidR="003242B2">
        <w:rPr>
          <w:color w:val="6E7893"/>
        </w:rPr>
        <w:t>é</w:t>
      </w:r>
      <w:r>
        <w:rPr>
          <w:color w:val="6E7893"/>
        </w:rPr>
        <w:t xml:space="preserve"> Cerdán, CEO de Telefónica </w:t>
      </w:r>
      <w:proofErr w:type="spellStart"/>
      <w:r>
        <w:rPr>
          <w:color w:val="6E7893"/>
        </w:rPr>
        <w:t>Tech</w:t>
      </w:r>
      <w:proofErr w:type="spellEnd"/>
      <w:r w:rsidR="00B127FB">
        <w:rPr>
          <w:color w:val="6E7893"/>
        </w:rPr>
        <w:t>, comenta</w:t>
      </w:r>
      <w:r>
        <w:rPr>
          <w:color w:val="6E7893"/>
        </w:rPr>
        <w:t>: “</w:t>
      </w:r>
      <w:r w:rsidR="00B61105">
        <w:rPr>
          <w:color w:val="6E7893"/>
        </w:rPr>
        <w:t>E</w:t>
      </w:r>
      <w:r w:rsidR="00B61105" w:rsidRPr="005B7361">
        <w:rPr>
          <w:color w:val="6E7893"/>
        </w:rPr>
        <w:t xml:space="preserve">stamos </w:t>
      </w:r>
      <w:r w:rsidR="005B7361" w:rsidRPr="005B7361">
        <w:rPr>
          <w:color w:val="6E7893"/>
        </w:rPr>
        <w:t xml:space="preserve">encantados de que esta adquisición nos permita reforzar nuestra posición como líderes en el mercado británico de servicios de TI. Ahora </w:t>
      </w:r>
      <w:r w:rsidR="005B7361">
        <w:rPr>
          <w:color w:val="6E7893"/>
        </w:rPr>
        <w:t>podemos ofrecer</w:t>
      </w:r>
      <w:r w:rsidRPr="006458E2">
        <w:rPr>
          <w:color w:val="6E7893"/>
        </w:rPr>
        <w:t xml:space="preserve"> servicios integrales de Microsoft, incluyendo la transformación digital</w:t>
      </w:r>
      <w:r>
        <w:rPr>
          <w:color w:val="6E7893"/>
        </w:rPr>
        <w:t>,</w:t>
      </w:r>
      <w:r w:rsidRPr="006458E2">
        <w:rPr>
          <w:color w:val="6E7893"/>
        </w:rPr>
        <w:t xml:space="preserve"> los servicios gestionados</w:t>
      </w:r>
      <w:r>
        <w:rPr>
          <w:color w:val="6E7893"/>
        </w:rPr>
        <w:t xml:space="preserve"> y el análisis de datos, y </w:t>
      </w:r>
      <w:r w:rsidR="005B7361">
        <w:rPr>
          <w:color w:val="6E7893"/>
        </w:rPr>
        <w:t xml:space="preserve">lograr </w:t>
      </w:r>
      <w:r>
        <w:rPr>
          <w:color w:val="6E7893"/>
        </w:rPr>
        <w:t>atractivas sinergias</w:t>
      </w:r>
      <w:r w:rsidR="00854705">
        <w:rPr>
          <w:color w:val="6E7893"/>
        </w:rPr>
        <w:t xml:space="preserve"> de venta cruz</w:t>
      </w:r>
      <w:r w:rsidR="00B127FB">
        <w:rPr>
          <w:color w:val="6E7893"/>
        </w:rPr>
        <w:t>a</w:t>
      </w:r>
      <w:r w:rsidR="00854705">
        <w:rPr>
          <w:color w:val="6E7893"/>
        </w:rPr>
        <w:t>da</w:t>
      </w:r>
      <w:r w:rsidR="00B127FB">
        <w:rPr>
          <w:color w:val="6E7893"/>
        </w:rPr>
        <w:t xml:space="preserve"> con Telefónica </w:t>
      </w:r>
      <w:proofErr w:type="spellStart"/>
      <w:r w:rsidR="00B127FB">
        <w:rPr>
          <w:color w:val="6E7893"/>
        </w:rPr>
        <w:t>Tech</w:t>
      </w:r>
      <w:proofErr w:type="spellEnd"/>
      <w:r w:rsidR="00B127FB">
        <w:rPr>
          <w:color w:val="6E7893"/>
        </w:rPr>
        <w:t xml:space="preserve"> UK</w:t>
      </w:r>
      <w:r>
        <w:rPr>
          <w:color w:val="6E7893"/>
        </w:rPr>
        <w:t>&amp;I, complementándose y posicionándonos como una empresa líder en el Reino Unido, centrados en Microsoft”.</w:t>
      </w:r>
    </w:p>
    <w:p w14:paraId="3CDE4BA8" w14:textId="77777777" w:rsidR="005B7361" w:rsidRDefault="005B7361" w:rsidP="006458E2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5D254274" w14:textId="18A0E129" w:rsidR="005B7361" w:rsidRPr="005B7361" w:rsidRDefault="005B7361" w:rsidP="005B7361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  <w:r w:rsidRPr="005B7361">
        <w:rPr>
          <w:color w:val="6E7893"/>
        </w:rPr>
        <w:t xml:space="preserve">Neil Logan, actual </w:t>
      </w:r>
      <w:r>
        <w:rPr>
          <w:color w:val="6E7893"/>
        </w:rPr>
        <w:t>CEO</w:t>
      </w:r>
      <w:r w:rsidRPr="005B7361">
        <w:rPr>
          <w:color w:val="6E7893"/>
        </w:rPr>
        <w:t xml:space="preserve"> de Incremental </w:t>
      </w:r>
      <w:proofErr w:type="spellStart"/>
      <w:r w:rsidRPr="005B7361">
        <w:rPr>
          <w:color w:val="6E7893"/>
        </w:rPr>
        <w:t>Group</w:t>
      </w:r>
      <w:proofErr w:type="spellEnd"/>
      <w:r w:rsidRPr="005B7361">
        <w:rPr>
          <w:color w:val="6E7893"/>
        </w:rPr>
        <w:t xml:space="preserve">, afirma: "Estoy inmensamente orgulloso de lo que Incremental ha conseguido desde su creación hace poco más de 5 años. Al mirar hacia la siguiente etapa de </w:t>
      </w:r>
      <w:r>
        <w:rPr>
          <w:color w:val="6E7893"/>
        </w:rPr>
        <w:t>nuestra evolución</w:t>
      </w:r>
      <w:r w:rsidRPr="005B7361">
        <w:rPr>
          <w:color w:val="6E7893"/>
        </w:rPr>
        <w:t xml:space="preserve">, era importante </w:t>
      </w:r>
      <w:r>
        <w:rPr>
          <w:color w:val="6E7893"/>
        </w:rPr>
        <w:t>contar par</w:t>
      </w:r>
      <w:r w:rsidRPr="005B7361">
        <w:rPr>
          <w:color w:val="6E7893"/>
        </w:rPr>
        <w:t>a Incremental</w:t>
      </w:r>
      <w:r>
        <w:rPr>
          <w:color w:val="6E7893"/>
        </w:rPr>
        <w:t xml:space="preserve"> con</w:t>
      </w:r>
      <w:r w:rsidRPr="005B7361">
        <w:rPr>
          <w:color w:val="6E7893"/>
        </w:rPr>
        <w:t xml:space="preserve"> el apoyo adecuado a largo plazo. Formar parte de Telefónica </w:t>
      </w:r>
      <w:proofErr w:type="spellStart"/>
      <w:r w:rsidRPr="005B7361">
        <w:rPr>
          <w:color w:val="6E7893"/>
        </w:rPr>
        <w:t>Tech</w:t>
      </w:r>
      <w:proofErr w:type="spellEnd"/>
      <w:r w:rsidRPr="005B7361">
        <w:rPr>
          <w:color w:val="6E7893"/>
        </w:rPr>
        <w:t xml:space="preserve"> nos impulsa a la siguiente fase de nuestro viaje y nos permite escalar aún más el negocio, creando interesantes oportunidades para nuestra gente y nuestros clientes".</w:t>
      </w:r>
    </w:p>
    <w:p w14:paraId="79734350" w14:textId="77777777" w:rsidR="005B7361" w:rsidRPr="005B7361" w:rsidRDefault="005B7361" w:rsidP="005B7361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5EAB0BC6" w14:textId="47C3D941" w:rsidR="00C71695" w:rsidRDefault="00C71695" w:rsidP="006458E2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0C9524BA" w14:textId="77777777" w:rsidR="00854705" w:rsidRDefault="00854705" w:rsidP="006458E2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50AEAD6A" w14:textId="35445000" w:rsidR="00854705" w:rsidRDefault="00854705" w:rsidP="006458E2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/>
          <w:color w:val="0066FF" w:themeColor="text2"/>
        </w:rPr>
      </w:pPr>
      <w:r w:rsidRPr="00854705">
        <w:rPr>
          <w:b/>
          <w:color w:val="0066FF" w:themeColor="text2"/>
        </w:rPr>
        <w:t xml:space="preserve">Telefónica </w:t>
      </w:r>
      <w:proofErr w:type="spellStart"/>
      <w:r w:rsidRPr="00854705">
        <w:rPr>
          <w:b/>
          <w:color w:val="0066FF" w:themeColor="text2"/>
        </w:rPr>
        <w:t>Tech</w:t>
      </w:r>
      <w:proofErr w:type="spellEnd"/>
      <w:r>
        <w:rPr>
          <w:b/>
          <w:color w:val="0066FF" w:themeColor="text2"/>
        </w:rPr>
        <w:t xml:space="preserve"> afianza su</w:t>
      </w:r>
      <w:r w:rsidRPr="00854705">
        <w:rPr>
          <w:b/>
          <w:color w:val="0066FF" w:themeColor="text2"/>
        </w:rPr>
        <w:t xml:space="preserve"> crecimiento orgánico e inorgánico </w:t>
      </w:r>
    </w:p>
    <w:p w14:paraId="7228FE0B" w14:textId="77777777" w:rsidR="00854705" w:rsidRDefault="00854705" w:rsidP="006458E2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/>
          <w:color w:val="0066FF" w:themeColor="text2"/>
        </w:rPr>
      </w:pPr>
    </w:p>
    <w:p w14:paraId="535BC308" w14:textId="24714882" w:rsidR="00C71695" w:rsidRPr="00C71695" w:rsidRDefault="00C71695" w:rsidP="00C71695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  <w:r>
        <w:rPr>
          <w:color w:val="6E7893"/>
        </w:rPr>
        <w:t>Esta</w:t>
      </w:r>
      <w:r w:rsidR="00854705" w:rsidRPr="00854705">
        <w:rPr>
          <w:color w:val="6E7893"/>
        </w:rPr>
        <w:t xml:space="preserve"> nueva adquisición</w:t>
      </w:r>
      <w:r>
        <w:rPr>
          <w:color w:val="6E7893"/>
        </w:rPr>
        <w:t xml:space="preserve"> por parte de</w:t>
      </w:r>
      <w:r w:rsidR="00854705" w:rsidRPr="00854705">
        <w:rPr>
          <w:color w:val="6E7893"/>
        </w:rPr>
        <w:t xml:space="preserve"> </w:t>
      </w:r>
      <w:r>
        <w:rPr>
          <w:color w:val="6E7893"/>
        </w:rPr>
        <w:t xml:space="preserve">Telefónica </w:t>
      </w:r>
      <w:proofErr w:type="spellStart"/>
      <w:r>
        <w:rPr>
          <w:color w:val="6E7893"/>
        </w:rPr>
        <w:t>Tech</w:t>
      </w:r>
      <w:proofErr w:type="spellEnd"/>
      <w:r>
        <w:rPr>
          <w:color w:val="6E7893"/>
        </w:rPr>
        <w:t xml:space="preserve"> se suma a las operaciones realizadas el </w:t>
      </w:r>
      <w:r w:rsidRPr="00C71695">
        <w:rPr>
          <w:color w:val="6E7893"/>
        </w:rPr>
        <w:t>año pasado</w:t>
      </w:r>
      <w:r>
        <w:rPr>
          <w:color w:val="6E7893"/>
        </w:rPr>
        <w:t>:</w:t>
      </w:r>
      <w:r w:rsidRPr="00C71695">
        <w:rPr>
          <w:color w:val="6E7893"/>
        </w:rPr>
        <w:t xml:space="preserve"> la </w:t>
      </w:r>
      <w:hyperlink r:id="rId13" w:history="1">
        <w:r w:rsidRPr="00BB11E8">
          <w:rPr>
            <w:rStyle w:val="Hipervnculo"/>
            <w:color w:val="0066FF" w:themeColor="text2"/>
          </w:rPr>
          <w:t xml:space="preserve">integración de </w:t>
        </w:r>
        <w:proofErr w:type="spellStart"/>
        <w:r w:rsidRPr="00BB11E8">
          <w:rPr>
            <w:rStyle w:val="Hipervnculo"/>
            <w:color w:val="0066FF" w:themeColor="text2"/>
          </w:rPr>
          <w:t>acens</w:t>
        </w:r>
        <w:proofErr w:type="spellEnd"/>
      </w:hyperlink>
      <w:r w:rsidRPr="00C71695">
        <w:rPr>
          <w:color w:val="6E7893"/>
        </w:rPr>
        <w:t xml:space="preserve">, la compra de </w:t>
      </w:r>
      <w:hyperlink r:id="rId14" w:history="1">
        <w:proofErr w:type="spellStart"/>
        <w:r w:rsidR="00BB11E8" w:rsidRPr="00BB11E8">
          <w:rPr>
            <w:rStyle w:val="Hipervnculo"/>
            <w:color w:val="0066FF" w:themeColor="text2"/>
          </w:rPr>
          <w:t>Alt</w:t>
        </w:r>
        <w:r w:rsidRPr="00BB11E8">
          <w:rPr>
            <w:rStyle w:val="Hipervnculo"/>
            <w:color w:val="0066FF" w:themeColor="text2"/>
          </w:rPr>
          <w:t>ostratus</w:t>
        </w:r>
        <w:proofErr w:type="spellEnd"/>
      </w:hyperlink>
      <w:r w:rsidRPr="00C71695">
        <w:rPr>
          <w:color w:val="6E7893"/>
        </w:rPr>
        <w:t xml:space="preserve">, la </w:t>
      </w:r>
      <w:r w:rsidRPr="00BB11E8">
        <w:rPr>
          <w:color w:val="0066FF" w:themeColor="text2"/>
        </w:rPr>
        <w:t>adquisición de </w:t>
      </w:r>
      <w:proofErr w:type="spellStart"/>
      <w:r w:rsidRPr="00BB11E8">
        <w:rPr>
          <w:color w:val="0066FF" w:themeColor="text2"/>
        </w:rPr>
        <w:t>Cancom</w:t>
      </w:r>
      <w:proofErr w:type="spellEnd"/>
      <w:r w:rsidRPr="00BB11E8">
        <w:rPr>
          <w:color w:val="0066FF" w:themeColor="text2"/>
        </w:rPr>
        <w:t xml:space="preserve"> UK&amp;I</w:t>
      </w:r>
      <w:r w:rsidRPr="00C71695">
        <w:rPr>
          <w:color w:val="6E7893"/>
        </w:rPr>
        <w:t>, ahora</w:t>
      </w:r>
      <w:r w:rsidRPr="00BB11E8">
        <w:rPr>
          <w:color w:val="0066FF" w:themeColor="text2"/>
        </w:rPr>
        <w:t xml:space="preserve"> </w:t>
      </w:r>
      <w:hyperlink r:id="rId15" w:history="1">
        <w:r w:rsidRPr="00BB11E8">
          <w:rPr>
            <w:rStyle w:val="Hipervnculo"/>
            <w:color w:val="0066FF" w:themeColor="text2"/>
          </w:rPr>
          <w:t xml:space="preserve">Telefónica </w:t>
        </w:r>
        <w:proofErr w:type="spellStart"/>
        <w:r w:rsidRPr="00BB11E8">
          <w:rPr>
            <w:rStyle w:val="Hipervnculo"/>
            <w:color w:val="0066FF" w:themeColor="text2"/>
          </w:rPr>
          <w:t>Tech</w:t>
        </w:r>
        <w:proofErr w:type="spellEnd"/>
        <w:r w:rsidRPr="00BB11E8">
          <w:rPr>
            <w:rStyle w:val="Hipervnculo"/>
            <w:color w:val="0066FF" w:themeColor="text2"/>
          </w:rPr>
          <w:t xml:space="preserve"> UK&amp;I</w:t>
        </w:r>
      </w:hyperlink>
      <w:r w:rsidRPr="00C71695">
        <w:rPr>
          <w:color w:val="6E7893"/>
        </w:rPr>
        <w:t>, y la</w:t>
      </w:r>
      <w:r>
        <w:rPr>
          <w:color w:val="6E7893"/>
        </w:rPr>
        <w:t xml:space="preserve"> incorporación de </w:t>
      </w:r>
      <w:hyperlink r:id="rId16" w:history="1">
        <w:proofErr w:type="spellStart"/>
        <w:r w:rsidRPr="00BB11E8">
          <w:rPr>
            <w:rStyle w:val="Hipervnculo"/>
            <w:color w:val="0066FF" w:themeColor="text2"/>
          </w:rPr>
          <w:t>Geprom</w:t>
        </w:r>
        <w:proofErr w:type="spellEnd"/>
      </w:hyperlink>
      <w:r w:rsidR="00885943">
        <w:rPr>
          <w:rStyle w:val="Hipervnculo"/>
          <w:color w:val="0066FF" w:themeColor="text2"/>
        </w:rPr>
        <w:t>,</w:t>
      </w:r>
      <w:r w:rsidRPr="00BB11E8">
        <w:rPr>
          <w:color w:val="0066FF" w:themeColor="text2"/>
        </w:rPr>
        <w:t xml:space="preserve"> </w:t>
      </w:r>
      <w:r w:rsidRPr="00C71695">
        <w:rPr>
          <w:color w:val="6E7893"/>
        </w:rPr>
        <w:t>que le</w:t>
      </w:r>
      <w:r w:rsidR="00B127FB">
        <w:rPr>
          <w:color w:val="6E7893"/>
        </w:rPr>
        <w:t xml:space="preserve"> </w:t>
      </w:r>
      <w:r w:rsidRPr="00C71695">
        <w:rPr>
          <w:color w:val="6E7893"/>
        </w:rPr>
        <w:t>sirvió para reforzar sus capacidades en Industria 4.0.</w:t>
      </w:r>
    </w:p>
    <w:p w14:paraId="785AC820" w14:textId="77777777" w:rsidR="00C71695" w:rsidRDefault="00C71695" w:rsidP="00180A0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11205174" w14:textId="04F65DA6" w:rsidR="006458E2" w:rsidRPr="00180A03" w:rsidRDefault="00C71695" w:rsidP="00FF271B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  <w:r>
        <w:rPr>
          <w:color w:val="6E7893"/>
        </w:rPr>
        <w:t xml:space="preserve">Como </w:t>
      </w:r>
      <w:r w:rsidR="005B7361">
        <w:rPr>
          <w:color w:val="6E7893"/>
        </w:rPr>
        <w:t>Telefónica</w:t>
      </w:r>
      <w:r>
        <w:rPr>
          <w:color w:val="6E7893"/>
        </w:rPr>
        <w:t xml:space="preserve"> dio a conocer en los pasados </w:t>
      </w:r>
      <w:hyperlink r:id="rId17" w:anchor=":~:text=Madrid%2C%2024%20de%20febrero%20de,conseguido%20durante%20el%20a%C3%B1o%20anterior." w:history="1">
        <w:r w:rsidRPr="00C71695">
          <w:rPr>
            <w:rStyle w:val="Hipervnculo"/>
            <w:color w:val="0066FF" w:themeColor="text2"/>
          </w:rPr>
          <w:t>Resultados anuales de 2021</w:t>
        </w:r>
      </w:hyperlink>
      <w:r>
        <w:rPr>
          <w:color w:val="6E7893"/>
        </w:rPr>
        <w:t>,</w:t>
      </w:r>
      <w:r w:rsidR="005B7361">
        <w:rPr>
          <w:color w:val="6E7893"/>
        </w:rPr>
        <w:t xml:space="preserve"> </w:t>
      </w:r>
      <w:r>
        <w:rPr>
          <w:color w:val="6E7893"/>
        </w:rPr>
        <w:t xml:space="preserve">Telefónica </w:t>
      </w:r>
      <w:proofErr w:type="spellStart"/>
      <w:r>
        <w:rPr>
          <w:color w:val="6E7893"/>
        </w:rPr>
        <w:t>Tech</w:t>
      </w:r>
      <w:proofErr w:type="spellEnd"/>
      <w:r>
        <w:rPr>
          <w:color w:val="6E7893"/>
        </w:rPr>
        <w:t xml:space="preserve"> cerró el año con un incremento anual en ingresos del 33,6%, acercándose a los 1.000 millones de euros.</w:t>
      </w:r>
      <w:r w:rsidR="005B7361">
        <w:rPr>
          <w:color w:val="6E7893"/>
        </w:rPr>
        <w:t xml:space="preserve"> Lo que consolida a la unidad </w:t>
      </w:r>
      <w:r>
        <w:rPr>
          <w:color w:val="6E7893"/>
        </w:rPr>
        <w:t xml:space="preserve">como un </w:t>
      </w:r>
      <w:r w:rsidR="005B7361">
        <w:rPr>
          <w:color w:val="6E7893"/>
        </w:rPr>
        <w:t>motor de crecimiento</w:t>
      </w:r>
      <w:r>
        <w:rPr>
          <w:color w:val="6E7893"/>
        </w:rPr>
        <w:t xml:space="preserve"> </w:t>
      </w:r>
      <w:r>
        <w:rPr>
          <w:color w:val="6E7893"/>
        </w:rPr>
        <w:lastRenderedPageBreak/>
        <w:t xml:space="preserve">para Telefónica y </w:t>
      </w:r>
      <w:r w:rsidR="00885943">
        <w:rPr>
          <w:color w:val="6E7893"/>
        </w:rPr>
        <w:t>sig</w:t>
      </w:r>
      <w:r w:rsidR="005B7361">
        <w:rPr>
          <w:color w:val="6E7893"/>
        </w:rPr>
        <w:t>ue</w:t>
      </w:r>
      <w:r w:rsidR="00885943">
        <w:rPr>
          <w:color w:val="6E7893"/>
        </w:rPr>
        <w:t xml:space="preserve"> progresando </w:t>
      </w:r>
      <w:r>
        <w:rPr>
          <w:color w:val="6E7893"/>
        </w:rPr>
        <w:t xml:space="preserve">en uno de los pilares claves del plan estratégico que la </w:t>
      </w:r>
      <w:r w:rsidR="00D83E53">
        <w:rPr>
          <w:color w:val="6E7893"/>
        </w:rPr>
        <w:t>compañía</w:t>
      </w:r>
      <w:r>
        <w:rPr>
          <w:color w:val="6E7893"/>
        </w:rPr>
        <w:t xml:space="preserve"> </w:t>
      </w:r>
      <w:r w:rsidR="00885943">
        <w:rPr>
          <w:color w:val="6E7893"/>
        </w:rPr>
        <w:t xml:space="preserve">presentó </w:t>
      </w:r>
      <w:r>
        <w:rPr>
          <w:color w:val="6E7893"/>
        </w:rPr>
        <w:t xml:space="preserve">a finales del 2019. </w:t>
      </w:r>
    </w:p>
    <w:p w14:paraId="3366DBAA" w14:textId="5349539E" w:rsidR="00180A03" w:rsidRDefault="00180A0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16B3959F" w14:textId="77777777" w:rsidR="00BA5F03" w:rsidRDefault="00BA5F0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</w:p>
    <w:p w14:paraId="2A011525" w14:textId="27540758" w:rsidR="00BA5F03" w:rsidRDefault="00BA5F0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center"/>
        <w:rPr>
          <w:color w:val="6E7893"/>
        </w:rPr>
      </w:pPr>
    </w:p>
    <w:p w14:paraId="5DAA7290" w14:textId="77777777" w:rsidR="00376198" w:rsidRDefault="00376198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center"/>
        <w:rPr>
          <w:color w:val="6E7893"/>
        </w:rPr>
      </w:pPr>
    </w:p>
    <w:p w14:paraId="0694FB45" w14:textId="77777777" w:rsidR="00BA5F03" w:rsidRDefault="00BA5F03">
      <w:pPr>
        <w:pBdr>
          <w:top w:val="single" w:sz="4" w:space="0" w:color="BFBFBF"/>
          <w:left w:val="nil"/>
          <w:bottom w:val="nil"/>
          <w:right w:val="nil"/>
          <w:between w:val="nil"/>
        </w:pBdr>
        <w:spacing w:before="120" w:after="120"/>
        <w:ind w:right="-57"/>
        <w:rPr>
          <w:color w:val="808080"/>
          <w:sz w:val="16"/>
          <w:szCs w:val="16"/>
        </w:rPr>
      </w:pPr>
    </w:p>
    <w:p w14:paraId="1C783CD7" w14:textId="77777777" w:rsidR="00BA5F03" w:rsidRDefault="00DC692D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/>
        <w:rPr>
          <w:b/>
          <w:color w:val="0066FF"/>
        </w:rPr>
      </w:pPr>
      <w:r>
        <w:rPr>
          <w:b/>
          <w:color w:val="0066FF"/>
        </w:rPr>
        <w:t xml:space="preserve">Sobre Telefónica </w:t>
      </w:r>
      <w:proofErr w:type="spellStart"/>
      <w:r>
        <w:rPr>
          <w:b/>
          <w:color w:val="0066FF"/>
        </w:rPr>
        <w:t>Tech</w:t>
      </w:r>
      <w:proofErr w:type="spellEnd"/>
    </w:p>
    <w:p w14:paraId="4BC2D57A" w14:textId="7A735AAE" w:rsidR="00BA5F03" w:rsidRDefault="00DC692D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0066FF"/>
          <w:sz w:val="20"/>
          <w:szCs w:val="20"/>
          <w:u w:val="single"/>
        </w:rPr>
      </w:pPr>
      <w:r>
        <w:rPr>
          <w:color w:val="6E7893"/>
          <w:sz w:val="20"/>
          <w:szCs w:val="20"/>
        </w:rPr>
        <w:t xml:space="preserve">Telefónica </w:t>
      </w:r>
      <w:proofErr w:type="spellStart"/>
      <w:r>
        <w:rPr>
          <w:color w:val="6E7893"/>
          <w:sz w:val="20"/>
          <w:szCs w:val="20"/>
        </w:rPr>
        <w:t>Tech</w:t>
      </w:r>
      <w:proofErr w:type="spellEnd"/>
      <w:r>
        <w:rPr>
          <w:color w:val="6E7893"/>
          <w:sz w:val="20"/>
          <w:szCs w:val="20"/>
        </w:rPr>
        <w:t xml:space="preserve"> es la compañía líder en transformación digital. La compañía cuenta con una amplia oferta de servicios y soluciones tecnológicas integradas de </w:t>
      </w:r>
      <w:proofErr w:type="spellStart"/>
      <w:r>
        <w:rPr>
          <w:color w:val="6E7893"/>
          <w:sz w:val="20"/>
          <w:szCs w:val="20"/>
        </w:rPr>
        <w:t>Ciberseguridad</w:t>
      </w:r>
      <w:proofErr w:type="spellEnd"/>
      <w:r>
        <w:rPr>
          <w:color w:val="6E7893"/>
          <w:sz w:val="20"/>
          <w:szCs w:val="20"/>
        </w:rPr>
        <w:t xml:space="preserve">, Cloud, </w:t>
      </w:r>
      <w:proofErr w:type="spellStart"/>
      <w:r>
        <w:rPr>
          <w:color w:val="6E7893"/>
          <w:sz w:val="20"/>
          <w:szCs w:val="20"/>
        </w:rPr>
        <w:t>IoT</w:t>
      </w:r>
      <w:proofErr w:type="spellEnd"/>
      <w:r>
        <w:rPr>
          <w:color w:val="6E7893"/>
          <w:sz w:val="20"/>
          <w:szCs w:val="20"/>
        </w:rPr>
        <w:t xml:space="preserve">, Big Data </w:t>
      </w:r>
      <w:r w:rsidR="00FF271B">
        <w:rPr>
          <w:color w:val="6E7893"/>
          <w:sz w:val="20"/>
          <w:szCs w:val="20"/>
        </w:rPr>
        <w:t>y</w:t>
      </w:r>
      <w:r>
        <w:rPr>
          <w:color w:val="6E7893"/>
          <w:sz w:val="20"/>
          <w:szCs w:val="20"/>
        </w:rPr>
        <w:t xml:space="preserve"> </w:t>
      </w:r>
      <w:proofErr w:type="spellStart"/>
      <w:r>
        <w:rPr>
          <w:color w:val="6E7893"/>
          <w:sz w:val="20"/>
          <w:szCs w:val="20"/>
        </w:rPr>
        <w:t>Blockchain</w:t>
      </w:r>
      <w:proofErr w:type="spellEnd"/>
      <w:r>
        <w:rPr>
          <w:color w:val="6E7893"/>
          <w:sz w:val="20"/>
          <w:szCs w:val="20"/>
        </w:rPr>
        <w:t xml:space="preserve">. Para más información, consulte: </w:t>
      </w:r>
      <w:hyperlink r:id="rId18">
        <w:r>
          <w:rPr>
            <w:color w:val="0066FF"/>
            <w:sz w:val="20"/>
            <w:szCs w:val="20"/>
          </w:rPr>
          <w:t>https://telefonicatech.com/es</w:t>
        </w:r>
      </w:hyperlink>
    </w:p>
    <w:p w14:paraId="0C848D34" w14:textId="77777777" w:rsidR="00BA5F03" w:rsidRDefault="00BA5F0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  <w:tab w:val="left" w:pos="2190"/>
        </w:tabs>
        <w:ind w:right="283"/>
        <w:rPr>
          <w:color w:val="6E7893"/>
          <w:sz w:val="20"/>
          <w:szCs w:val="20"/>
        </w:rPr>
      </w:pPr>
    </w:p>
    <w:p w14:paraId="5429BC3C" w14:textId="77777777" w:rsidR="00BA5F03" w:rsidRDefault="00BA5F03">
      <w:pPr>
        <w:pBdr>
          <w:top w:val="single" w:sz="4" w:space="0" w:color="BFBFBF"/>
          <w:left w:val="nil"/>
          <w:bottom w:val="nil"/>
          <w:right w:val="nil"/>
          <w:between w:val="nil"/>
        </w:pBdr>
        <w:spacing w:before="120" w:after="120"/>
        <w:ind w:right="-57"/>
        <w:rPr>
          <w:color w:val="808080"/>
          <w:sz w:val="16"/>
          <w:szCs w:val="16"/>
        </w:rPr>
      </w:pPr>
    </w:p>
    <w:p w14:paraId="4DBF4D45" w14:textId="41F2E8D0" w:rsidR="00376198" w:rsidRDefault="00376198" w:rsidP="00376198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/>
        <w:rPr>
          <w:b/>
          <w:color w:val="0066FF"/>
        </w:rPr>
      </w:pPr>
      <w:r>
        <w:rPr>
          <w:b/>
          <w:color w:val="0066FF"/>
        </w:rPr>
        <w:t xml:space="preserve">Sobre </w:t>
      </w:r>
      <w:r w:rsidR="005662AA">
        <w:rPr>
          <w:b/>
          <w:color w:val="0066FF"/>
        </w:rPr>
        <w:t>Incremental</w:t>
      </w:r>
    </w:p>
    <w:p w14:paraId="6233CBD3" w14:textId="388DEDE4" w:rsidR="00376198" w:rsidRDefault="007911CD" w:rsidP="00376198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/>
        <w:rPr>
          <w:color w:val="6E7893"/>
          <w:sz w:val="20"/>
          <w:szCs w:val="20"/>
        </w:rPr>
      </w:pPr>
      <w:r w:rsidRPr="007911CD">
        <w:rPr>
          <w:color w:val="6E7893"/>
          <w:sz w:val="20"/>
          <w:szCs w:val="20"/>
        </w:rPr>
        <w:t xml:space="preserve">La empresa de servicios de tecnología digital, Incremental </w:t>
      </w:r>
      <w:proofErr w:type="spellStart"/>
      <w:r w:rsidRPr="007911CD">
        <w:rPr>
          <w:color w:val="6E7893"/>
          <w:sz w:val="20"/>
          <w:szCs w:val="20"/>
        </w:rPr>
        <w:t>Group</w:t>
      </w:r>
      <w:proofErr w:type="spellEnd"/>
      <w:r w:rsidRPr="007911CD">
        <w:rPr>
          <w:color w:val="6E7893"/>
          <w:sz w:val="20"/>
          <w:szCs w:val="20"/>
        </w:rPr>
        <w:t xml:space="preserve">, se dedica a ayudar a organizaciones gubernamentales, sin ánimo de lucro y comerciales a emprender la transformación digital, paso a paso, con Microsoft. Incremental fue fundada por Neil Logan (director ejecutivo), Stuart </w:t>
      </w:r>
      <w:proofErr w:type="spellStart"/>
      <w:r w:rsidRPr="007911CD">
        <w:rPr>
          <w:color w:val="6E7893"/>
          <w:sz w:val="20"/>
          <w:szCs w:val="20"/>
        </w:rPr>
        <w:t>Kerr</w:t>
      </w:r>
      <w:proofErr w:type="spellEnd"/>
      <w:r w:rsidRPr="007911CD">
        <w:rPr>
          <w:color w:val="6E7893"/>
          <w:sz w:val="20"/>
          <w:szCs w:val="20"/>
        </w:rPr>
        <w:t xml:space="preserve"> (director financiero) y Craig </w:t>
      </w:r>
      <w:proofErr w:type="spellStart"/>
      <w:r w:rsidRPr="007911CD">
        <w:rPr>
          <w:color w:val="6E7893"/>
          <w:sz w:val="20"/>
          <w:szCs w:val="20"/>
        </w:rPr>
        <w:t>Donnelly</w:t>
      </w:r>
      <w:proofErr w:type="spellEnd"/>
      <w:r w:rsidRPr="007911CD">
        <w:rPr>
          <w:color w:val="6E7893"/>
          <w:sz w:val="20"/>
          <w:szCs w:val="20"/>
        </w:rPr>
        <w:t xml:space="preserve"> (director comercial), y se lanzó oficialmente en diciembre de 2016. Tras una serie de adquisiciones estratégicas y un fuerte crecimiento orgánico, se ha convertido en el mayor socio independiente de aplicaciones empresariales y datos de Microsoft del Reino Unido. Con 350 empleados, Incremental tiene oficinas en el Reino Unido (Glasgow, Aberdeen, Manchester, Surrey, Londres), Bulgaria (Sofía) e India (Pune). </w:t>
      </w:r>
      <w:r w:rsidRPr="00BF0DF1">
        <w:rPr>
          <w:color w:val="6E7893"/>
          <w:sz w:val="20"/>
          <w:szCs w:val="20"/>
          <w:lang w:val="en-GB"/>
        </w:rPr>
        <w:t xml:space="preserve">Entre sus </w:t>
      </w:r>
      <w:proofErr w:type="spellStart"/>
      <w:r w:rsidRPr="00BF0DF1">
        <w:rPr>
          <w:color w:val="6E7893"/>
          <w:sz w:val="20"/>
          <w:szCs w:val="20"/>
          <w:lang w:val="en-GB"/>
        </w:rPr>
        <w:t>clientes</w:t>
      </w:r>
      <w:proofErr w:type="spellEnd"/>
      <w:r w:rsidRPr="00BF0DF1">
        <w:rPr>
          <w:color w:val="6E7893"/>
          <w:sz w:val="20"/>
          <w:szCs w:val="20"/>
          <w:lang w:val="en-GB"/>
        </w:rPr>
        <w:t xml:space="preserve"> se </w:t>
      </w:r>
      <w:proofErr w:type="spellStart"/>
      <w:r w:rsidRPr="00BF0DF1">
        <w:rPr>
          <w:color w:val="6E7893"/>
          <w:sz w:val="20"/>
          <w:szCs w:val="20"/>
          <w:lang w:val="en-GB"/>
        </w:rPr>
        <w:t>encuentran</w:t>
      </w:r>
      <w:proofErr w:type="spellEnd"/>
      <w:r w:rsidRPr="00BF0DF1">
        <w:rPr>
          <w:color w:val="6E7893"/>
          <w:sz w:val="20"/>
          <w:szCs w:val="20"/>
          <w:lang w:val="en-GB"/>
        </w:rPr>
        <w:t xml:space="preserve"> The Pensions Regulator, National Highways, Imperial War Museums, Admiral Insurance, Virgin Money, Harbour Energy, Heathrow Airport y ASOS. </w:t>
      </w:r>
      <w:r w:rsidRPr="007911CD">
        <w:rPr>
          <w:color w:val="6E7893"/>
          <w:sz w:val="20"/>
          <w:szCs w:val="20"/>
        </w:rPr>
        <w:t xml:space="preserve">Para más información, visite: </w:t>
      </w:r>
      <w:r w:rsidRPr="00832B61">
        <w:rPr>
          <w:color w:val="0066FF"/>
          <w:sz w:val="20"/>
          <w:szCs w:val="20"/>
        </w:rPr>
        <w:t>https://incrementalgroup.co.uk</w:t>
      </w:r>
      <w:r w:rsidRPr="007911CD">
        <w:rPr>
          <w:color w:val="6E7893"/>
          <w:sz w:val="20"/>
          <w:szCs w:val="20"/>
        </w:rPr>
        <w:t xml:space="preserve">   </w:t>
      </w:r>
    </w:p>
    <w:p w14:paraId="424A7474" w14:textId="77777777" w:rsidR="00376198" w:rsidRDefault="00376198" w:rsidP="00376198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/>
        <w:rPr>
          <w:color w:val="6E7893"/>
          <w:sz w:val="20"/>
          <w:szCs w:val="20"/>
        </w:rPr>
      </w:pPr>
    </w:p>
    <w:sectPr w:rsidR="0037619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701" w:right="843" w:bottom="1440" w:left="85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1D239" w14:textId="77777777" w:rsidR="00185B8D" w:rsidRDefault="00185B8D">
      <w:r>
        <w:separator/>
      </w:r>
    </w:p>
  </w:endnote>
  <w:endnote w:type="continuationSeparator" w:id="0">
    <w:p w14:paraId="0D5DAC61" w14:textId="77777777" w:rsidR="00185B8D" w:rsidRDefault="0018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lefonica ExtraLight">
    <w:altName w:val="Calibri"/>
    <w:panose1 w:val="00000300000000000000"/>
    <w:charset w:val="00"/>
    <w:family w:val="modern"/>
    <w:notTrueType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5C367" w14:textId="77777777" w:rsidR="007914C9" w:rsidRDefault="007914C9">
    <w:pPr>
      <w:jc w:val="right"/>
    </w:pPr>
    <w:r>
      <w:fldChar w:fldCharType="begin"/>
    </w:r>
    <w:r>
      <w:instrText>PAGE</w:instrText>
    </w:r>
    <w:r>
      <w:fldChar w:fldCharType="end"/>
    </w:r>
  </w:p>
  <w:p w14:paraId="31E5EECE" w14:textId="77777777" w:rsidR="007914C9" w:rsidRDefault="007914C9">
    <w:pPr>
      <w:ind w:right="360"/>
      <w:jc w:val="right"/>
    </w:pPr>
    <w:r>
      <w:fldChar w:fldCharType="begin"/>
    </w:r>
    <w:r>
      <w:instrText>PAGE</w:instrText>
    </w:r>
    <w:r>
      <w:fldChar w:fldCharType="end"/>
    </w:r>
  </w:p>
  <w:p w14:paraId="5D072B01" w14:textId="77777777" w:rsidR="007914C9" w:rsidRDefault="007914C9">
    <w:pPr>
      <w:ind w:right="360"/>
      <w:jc w:val="right"/>
    </w:pPr>
    <w:r>
      <w:fldChar w:fldCharType="begin"/>
    </w:r>
    <w:r>
      <w:instrText>PAGE</w:instrText>
    </w:r>
    <w:r>
      <w:fldChar w:fldCharType="end"/>
    </w:r>
  </w:p>
  <w:p w14:paraId="77099ADA" w14:textId="77777777" w:rsidR="007914C9" w:rsidRDefault="007914C9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3F30B" w14:textId="77777777" w:rsidR="007914C9" w:rsidRDefault="007914C9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3423A1C0" wp14:editId="56011A44">
              <wp:simplePos x="0" y="0"/>
              <wp:positionH relativeFrom="column">
                <wp:posOffset>114300</wp:posOffset>
              </wp:positionH>
              <wp:positionV relativeFrom="paragraph">
                <wp:posOffset>-165099</wp:posOffset>
              </wp:positionV>
              <wp:extent cx="4175760" cy="600075"/>
              <wp:effectExtent l="0" t="0" r="0" b="0"/>
              <wp:wrapSquare wrapText="bothSides" distT="0" distB="0" distL="114300" distR="114300"/>
              <wp:docPr id="24" name="Rectángu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67645" y="3489488"/>
                        <a:ext cx="415671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9828A" w14:textId="77777777" w:rsidR="007914C9" w:rsidRDefault="007914C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Telefónica, S.A.</w:t>
                          </w:r>
                        </w:p>
                        <w:p w14:paraId="1BF1A7D3" w14:textId="77777777" w:rsidR="007914C9" w:rsidRDefault="007914C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Dirección de Comunicación Corporativa</w:t>
                          </w:r>
                        </w:p>
                        <w:p w14:paraId="20C00C44" w14:textId="173BAB89" w:rsidR="007914C9" w:rsidRPr="00F843C1" w:rsidRDefault="007914C9">
                          <w:pPr>
                            <w:textDirection w:val="btLr"/>
                            <w:rPr>
                              <w:lang w:val="en-GB"/>
                            </w:rPr>
                          </w:pPr>
                          <w:proofErr w:type="gramStart"/>
                          <w:r w:rsidRPr="00F843C1">
                            <w:rPr>
                              <w:color w:val="000000"/>
                              <w:sz w:val="14"/>
                              <w:lang w:val="en-GB"/>
                            </w:rPr>
                            <w:t>email</w:t>
                          </w:r>
                          <w:proofErr w:type="gramEnd"/>
                          <w:r w:rsidRPr="00F843C1">
                            <w:rPr>
                              <w:color w:val="000000"/>
                              <w:sz w:val="14"/>
                              <w:lang w:val="en-GB"/>
                            </w:rPr>
                            <w:t>: prensatelefonica@telefonica.com</w:t>
                          </w:r>
                        </w:p>
                        <w:p w14:paraId="3CB7E0B7" w14:textId="77777777" w:rsidR="007914C9" w:rsidRDefault="007914C9" w:rsidP="005F6AAB">
                          <w:pPr>
                            <w:pStyle w:val="Piedepgina"/>
                            <w:rPr>
                              <w:sz w:val="14"/>
                              <w:szCs w:val="14"/>
                              <w:lang w:val="fr-FR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fr-FR"/>
                            </w:rPr>
                            <w:t>telefonica.com/es/sala-</w:t>
                          </w:r>
                          <w:proofErr w:type="spellStart"/>
                          <w:r>
                            <w:rPr>
                              <w:sz w:val="14"/>
                              <w:szCs w:val="14"/>
                              <w:lang w:val="fr-FR"/>
                            </w:rPr>
                            <w:t>comunicacion</w:t>
                          </w:r>
                          <w:proofErr w:type="spellEnd"/>
                        </w:p>
                        <w:p w14:paraId="4EA236B3" w14:textId="77777777" w:rsidR="007914C9" w:rsidRPr="00F843C1" w:rsidRDefault="007914C9">
                          <w:pPr>
                            <w:textDirection w:val="btLr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23A1C0" id="Rectángulo 24" o:spid="_x0000_s1026" style="position:absolute;margin-left:9pt;margin-top:-13pt;width:328.8pt;height:47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" filled="f" stroked="f">
              <v:textbox inset="2.53958mm,1.2694mm,2.53958mm,1.2694mm">
                <w:txbxContent>
                  <w:p w14:paraId="0359828A" w14:textId="77777777" w:rsidR="007914C9" w:rsidRDefault="007914C9">
                    <w:pPr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Telefónica, S.A.</w:t>
                    </w:r>
                  </w:p>
                  <w:p w14:paraId="1BF1A7D3" w14:textId="77777777" w:rsidR="007914C9" w:rsidRDefault="007914C9">
                    <w:pPr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Dirección de Comunicación Corporativa</w:t>
                    </w:r>
                  </w:p>
                  <w:p w14:paraId="20C00C44" w14:textId="173BAB89" w:rsidR="007914C9" w:rsidRPr="00F843C1" w:rsidRDefault="007914C9">
                    <w:pPr>
                      <w:textDirection w:val="btLr"/>
                      <w:rPr>
                        <w:lang w:val="en-GB"/>
                      </w:rPr>
                    </w:pPr>
                    <w:proofErr w:type="gramStart"/>
                    <w:r w:rsidRPr="00F843C1">
                      <w:rPr>
                        <w:color w:val="000000"/>
                        <w:sz w:val="14"/>
                        <w:lang w:val="en-GB"/>
                      </w:rPr>
                      <w:t>email</w:t>
                    </w:r>
                    <w:proofErr w:type="gramEnd"/>
                    <w:r w:rsidRPr="00F843C1">
                      <w:rPr>
                        <w:color w:val="000000"/>
                        <w:sz w:val="14"/>
                        <w:lang w:val="en-GB"/>
                      </w:rPr>
                      <w:t>: prensatelefonica@telefonica.com</w:t>
                    </w:r>
                  </w:p>
                  <w:p w14:paraId="3CB7E0B7" w14:textId="77777777" w:rsidR="007914C9" w:rsidRDefault="007914C9" w:rsidP="005F6AAB">
                    <w:pPr>
                      <w:pStyle w:val="Piedepgina"/>
                      <w:rPr>
                        <w:sz w:val="14"/>
                        <w:szCs w:val="14"/>
                        <w:lang w:val="fr-FR"/>
                      </w:rPr>
                    </w:pPr>
                    <w:r>
                      <w:rPr>
                        <w:sz w:val="14"/>
                        <w:szCs w:val="14"/>
                        <w:lang w:val="fr-FR"/>
                      </w:rPr>
                      <w:t>telefonica.com/es/sala-</w:t>
                    </w:r>
                    <w:proofErr w:type="spellStart"/>
                    <w:r>
                      <w:rPr>
                        <w:sz w:val="14"/>
                        <w:szCs w:val="14"/>
                        <w:lang w:val="fr-FR"/>
                      </w:rPr>
                      <w:t>comunicacion</w:t>
                    </w:r>
                    <w:proofErr w:type="spellEnd"/>
                  </w:p>
                  <w:p w14:paraId="4EA236B3" w14:textId="77777777" w:rsidR="007914C9" w:rsidRPr="00F843C1" w:rsidRDefault="007914C9">
                    <w:pPr>
                      <w:textDirection w:val="btLr"/>
                      <w:rPr>
                        <w:lang w:val="en-GB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E4B5D" w14:textId="77777777" w:rsidR="007914C9" w:rsidRDefault="007914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2126F" w14:textId="77777777" w:rsidR="00185B8D" w:rsidRDefault="00185B8D">
      <w:r>
        <w:separator/>
      </w:r>
    </w:p>
  </w:footnote>
  <w:footnote w:type="continuationSeparator" w:id="0">
    <w:p w14:paraId="4C27F2EE" w14:textId="77777777" w:rsidR="00185B8D" w:rsidRDefault="00185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753CB" w14:textId="77777777" w:rsidR="007914C9" w:rsidRDefault="007914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6331A" w14:textId="581843FC" w:rsidR="007914C9" w:rsidRDefault="007914C9">
    <w:pPr>
      <w:rPr>
        <w:rFonts w:ascii="Telefonica ExtraLight" w:eastAsia="Telefonica ExtraLight" w:hAnsi="Telefonica ExtraLight" w:cs="Telefonica ExtraLight"/>
        <w:color w:val="FFFFFF"/>
        <w:sz w:val="60"/>
        <w:szCs w:val="6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36C79D7F" wp14:editId="22F1DFCE">
          <wp:simplePos x="0" y="0"/>
          <wp:positionH relativeFrom="column">
            <wp:posOffset>-539748</wp:posOffset>
          </wp:positionH>
          <wp:positionV relativeFrom="paragraph">
            <wp:posOffset>-262253</wp:posOffset>
          </wp:positionV>
          <wp:extent cx="7545705" cy="985520"/>
          <wp:effectExtent l="0" t="0" r="0" b="0"/>
          <wp:wrapSquare wrapText="bothSides" distT="0" distB="0" distL="114300" distR="114300"/>
          <wp:docPr id="25" name="image1.jpg" descr="A picture containing rectang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rectangl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705" cy="985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C68C1" w14:textId="77777777" w:rsidR="007914C9" w:rsidRDefault="007914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E0CDF"/>
    <w:multiLevelType w:val="multilevel"/>
    <w:tmpl w:val="D3563F82"/>
    <w:lvl w:ilvl="0">
      <w:start w:val="1"/>
      <w:numFmt w:val="bullet"/>
      <w:lvlText w:val="●"/>
      <w:lvlJc w:val="left"/>
      <w:pPr>
        <w:ind w:left="16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03"/>
    <w:rsid w:val="00024FDA"/>
    <w:rsid w:val="00040B9E"/>
    <w:rsid w:val="000845D7"/>
    <w:rsid w:val="000E1499"/>
    <w:rsid w:val="00125929"/>
    <w:rsid w:val="001261C8"/>
    <w:rsid w:val="00143A80"/>
    <w:rsid w:val="001575A3"/>
    <w:rsid w:val="00180A03"/>
    <w:rsid w:val="00185B8D"/>
    <w:rsid w:val="001B522C"/>
    <w:rsid w:val="001E68C9"/>
    <w:rsid w:val="001F445D"/>
    <w:rsid w:val="0025299C"/>
    <w:rsid w:val="0025776B"/>
    <w:rsid w:val="00297D96"/>
    <w:rsid w:val="002B5C1C"/>
    <w:rsid w:val="0031335A"/>
    <w:rsid w:val="003242B2"/>
    <w:rsid w:val="0034142F"/>
    <w:rsid w:val="0037331B"/>
    <w:rsid w:val="00376198"/>
    <w:rsid w:val="0038400D"/>
    <w:rsid w:val="003A1AA4"/>
    <w:rsid w:val="003B10E3"/>
    <w:rsid w:val="003C4697"/>
    <w:rsid w:val="00411778"/>
    <w:rsid w:val="00477F4C"/>
    <w:rsid w:val="004C59C6"/>
    <w:rsid w:val="004D5CFF"/>
    <w:rsid w:val="004F293F"/>
    <w:rsid w:val="005151BC"/>
    <w:rsid w:val="005455C5"/>
    <w:rsid w:val="005662AA"/>
    <w:rsid w:val="00570FA1"/>
    <w:rsid w:val="0058583E"/>
    <w:rsid w:val="005B7361"/>
    <w:rsid w:val="005E71B1"/>
    <w:rsid w:val="005F6AAB"/>
    <w:rsid w:val="006458E2"/>
    <w:rsid w:val="006A7A2F"/>
    <w:rsid w:val="006B19E3"/>
    <w:rsid w:val="006B2D45"/>
    <w:rsid w:val="006C1FA0"/>
    <w:rsid w:val="006C47F2"/>
    <w:rsid w:val="006E6133"/>
    <w:rsid w:val="00742F26"/>
    <w:rsid w:val="00744221"/>
    <w:rsid w:val="007911CD"/>
    <w:rsid w:val="007914C9"/>
    <w:rsid w:val="007B44E8"/>
    <w:rsid w:val="007E3D1F"/>
    <w:rsid w:val="00832B61"/>
    <w:rsid w:val="00854705"/>
    <w:rsid w:val="008843E4"/>
    <w:rsid w:val="00885943"/>
    <w:rsid w:val="00896789"/>
    <w:rsid w:val="008B2EE8"/>
    <w:rsid w:val="008C1689"/>
    <w:rsid w:val="008D39DF"/>
    <w:rsid w:val="0094252D"/>
    <w:rsid w:val="009F46E1"/>
    <w:rsid w:val="00A30A8C"/>
    <w:rsid w:val="00A5351C"/>
    <w:rsid w:val="00AF489C"/>
    <w:rsid w:val="00B1276D"/>
    <w:rsid w:val="00B127FB"/>
    <w:rsid w:val="00B169AC"/>
    <w:rsid w:val="00B34328"/>
    <w:rsid w:val="00B61105"/>
    <w:rsid w:val="00B74911"/>
    <w:rsid w:val="00B77B79"/>
    <w:rsid w:val="00B90360"/>
    <w:rsid w:val="00BA5F03"/>
    <w:rsid w:val="00BB11E8"/>
    <w:rsid w:val="00BD17C6"/>
    <w:rsid w:val="00BF0DF1"/>
    <w:rsid w:val="00C048D4"/>
    <w:rsid w:val="00C3362A"/>
    <w:rsid w:val="00C71695"/>
    <w:rsid w:val="00CB6092"/>
    <w:rsid w:val="00CD08BE"/>
    <w:rsid w:val="00D02C75"/>
    <w:rsid w:val="00D53C6A"/>
    <w:rsid w:val="00D83E53"/>
    <w:rsid w:val="00DC692D"/>
    <w:rsid w:val="00E91A2E"/>
    <w:rsid w:val="00E95D81"/>
    <w:rsid w:val="00EA4254"/>
    <w:rsid w:val="00EF3265"/>
    <w:rsid w:val="00EF5C19"/>
    <w:rsid w:val="00EF6ABE"/>
    <w:rsid w:val="00F45D92"/>
    <w:rsid w:val="00F53C0A"/>
    <w:rsid w:val="00F67AE1"/>
    <w:rsid w:val="00F843C1"/>
    <w:rsid w:val="00F94604"/>
    <w:rsid w:val="00FB6D5B"/>
    <w:rsid w:val="00FC64EB"/>
    <w:rsid w:val="00FF271B"/>
    <w:rsid w:val="7C66D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32C1B"/>
  <w15:docId w15:val="{6DE3B4EA-0DAE-4641-9CDE-C5DA510E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Header 1"/>
    <w:basedOn w:val="Normal"/>
    <w:next w:val="Normal"/>
    <w:link w:val="Ttulo1Car"/>
    <w:uiPriority w:val="9"/>
    <w:qFormat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51217"/>
    <w:pPr>
      <w:spacing w:after="160" w:line="259" w:lineRule="auto"/>
      <w:ind w:left="1296" w:hanging="1296"/>
      <w:outlineLvl w:val="6"/>
    </w:pPr>
    <w:rPr>
      <w:rFonts w:eastAsiaTheme="minorHAnsi"/>
      <w:b/>
      <w:color w:val="0066FF" w:themeColor="text2"/>
      <w:sz w:val="22"/>
      <w:szCs w:val="22"/>
      <w:lang w:val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aliases w:val="Header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</w:rPr>
  </w:style>
  <w:style w:type="paragraph" w:customStyle="1" w:styleId="ListaPrrafoTelefnica">
    <w:name w:val="Lista Párrafo Telefónica"/>
    <w:basedOn w:val="Normal"/>
    <w:qFormat/>
    <w:rsid w:val="00CD1583"/>
    <w:pPr>
      <w:tabs>
        <w:tab w:val="left" w:pos="3520"/>
      </w:tabs>
      <w:ind w:right="283"/>
      <w:contextualSpacing/>
    </w:pPr>
    <w:rPr>
      <w:rFonts w:cstheme="minorHAnsi"/>
      <w:color w:val="6E7893" w:themeColor="accent1"/>
      <w:sz w:val="20"/>
    </w:rPr>
  </w:style>
  <w:style w:type="paragraph" w:customStyle="1" w:styleId="PrrafoTelefnica">
    <w:name w:val="Párrafo Telefónica"/>
    <w:basedOn w:val="Normal"/>
    <w:qFormat/>
    <w:rsid w:val="00CD1583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  <w:sz w:val="20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Encabezado">
    <w:name w:val="header"/>
    <w:basedOn w:val="Normal"/>
    <w:link w:val="EncabezadoCar"/>
    <w:uiPriority w:val="99"/>
    <w:unhideWhenUsed/>
    <w:rsid w:val="00D0029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295"/>
  </w:style>
  <w:style w:type="paragraph" w:styleId="Piedepgina">
    <w:name w:val="footer"/>
    <w:basedOn w:val="Normal"/>
    <w:link w:val="PiedepginaCar"/>
    <w:uiPriority w:val="99"/>
    <w:unhideWhenUsed/>
    <w:rsid w:val="00D00295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295"/>
  </w:style>
  <w:style w:type="paragraph" w:customStyle="1" w:styleId="Numerodepagina">
    <w:name w:val="Numero de pagina"/>
    <w:basedOn w:val="Normal"/>
    <w:qFormat/>
    <w:rsid w:val="00D00295"/>
    <w:pPr>
      <w:tabs>
        <w:tab w:val="center" w:pos="4252"/>
        <w:tab w:val="right" w:pos="8504"/>
      </w:tabs>
      <w:jc w:val="right"/>
    </w:pPr>
    <w:rPr>
      <w:rFonts w:eastAsiaTheme="minorHAnsi"/>
      <w:color w:val="F1F4FF" w:themeColor="background2"/>
      <w:sz w:val="16"/>
      <w:szCs w:val="16"/>
    </w:rPr>
  </w:style>
  <w:style w:type="paragraph" w:customStyle="1" w:styleId="Legal">
    <w:name w:val="Legal"/>
    <w:basedOn w:val="Piedepgina"/>
    <w:rsid w:val="00D00295"/>
    <w:rPr>
      <w:sz w:val="16"/>
      <w:szCs w:val="16"/>
    </w:rPr>
  </w:style>
  <w:style w:type="paragraph" w:customStyle="1" w:styleId="Legal-Footer">
    <w:name w:val="Legal-Footer"/>
    <w:basedOn w:val="Piedepgina"/>
    <w:rsid w:val="00D00295"/>
    <w:rPr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C51217"/>
    <w:rPr>
      <w:rFonts w:ascii="Arial" w:eastAsiaTheme="minorHAnsi" w:hAnsi="Arial"/>
      <w:b/>
      <w:color w:val="0066FF" w:themeColor="text2"/>
      <w:sz w:val="22"/>
      <w:szCs w:val="22"/>
      <w:lang w:val="ru-RU"/>
    </w:rPr>
  </w:style>
  <w:style w:type="paragraph" w:styleId="Textonotapie">
    <w:name w:val="footnote text"/>
    <w:basedOn w:val="Normal"/>
    <w:link w:val="TextonotapieCar"/>
    <w:uiPriority w:val="99"/>
    <w:qFormat/>
    <w:rsid w:val="00C51217"/>
    <w:pPr>
      <w:pBdr>
        <w:top w:val="single" w:sz="4" w:space="1" w:color="BFBFBF" w:themeColor="background1" w:themeShade="BF"/>
      </w:pBdr>
      <w:spacing w:before="120" w:after="120"/>
      <w:ind w:right="-57"/>
    </w:pPr>
    <w:rPr>
      <w:rFonts w:eastAsiaTheme="minorHAnsi"/>
      <w:color w:val="808080" w:themeColor="background1" w:themeShade="80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51217"/>
    <w:rPr>
      <w:rFonts w:ascii="Arial" w:eastAsiaTheme="minorHAnsi" w:hAnsi="Arial"/>
      <w:color w:val="808080" w:themeColor="background1" w:themeShade="80"/>
      <w:sz w:val="16"/>
    </w:rPr>
  </w:style>
  <w:style w:type="character" w:styleId="Hipervnculo">
    <w:name w:val="Hyperlink"/>
    <w:basedOn w:val="Fuentedeprrafopredeter"/>
    <w:uiPriority w:val="99"/>
    <w:unhideWhenUsed/>
    <w:rsid w:val="00C51217"/>
    <w:rPr>
      <w:rFonts w:ascii="Arial" w:hAnsi="Arial"/>
      <w:color w:val="F1F4FF" w:themeColor="background2"/>
      <w:u w:val="none"/>
    </w:rPr>
  </w:style>
  <w:style w:type="paragraph" w:customStyle="1" w:styleId="Enlaces">
    <w:name w:val="Enlaces"/>
    <w:basedOn w:val="Normal"/>
    <w:qFormat/>
    <w:rsid w:val="00C51217"/>
    <w:pPr>
      <w:spacing w:before="200" w:after="120"/>
    </w:pPr>
    <w:rPr>
      <w:rFonts w:eastAsiaTheme="minorHAnsi"/>
      <w:color w:val="0066FF" w:themeColor="text2"/>
      <w:sz w:val="22"/>
      <w:u w:val="single"/>
    </w:rPr>
  </w:style>
  <w:style w:type="character" w:styleId="Textoennegrita">
    <w:name w:val="Strong"/>
    <w:basedOn w:val="Fuentedeprrafopredeter"/>
    <w:uiPriority w:val="22"/>
    <w:qFormat/>
    <w:rsid w:val="00C51217"/>
    <w:rPr>
      <w:rFonts w:ascii="Arial" w:hAnsi="Arial"/>
      <w:b/>
      <w:bCs/>
    </w:rPr>
  </w:style>
  <w:style w:type="paragraph" w:customStyle="1" w:styleId="paragraph">
    <w:name w:val="paragraph"/>
    <w:basedOn w:val="Normal"/>
    <w:rsid w:val="0044385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Fuentedeprrafopredeter"/>
    <w:rsid w:val="00443853"/>
  </w:style>
  <w:style w:type="character" w:customStyle="1" w:styleId="scxw65938463">
    <w:name w:val="scxw65938463"/>
    <w:basedOn w:val="Fuentedeprrafopredeter"/>
    <w:rsid w:val="00443853"/>
  </w:style>
  <w:style w:type="character" w:customStyle="1" w:styleId="eop">
    <w:name w:val="eop"/>
    <w:basedOn w:val="Fuentedeprrafopredeter"/>
    <w:rsid w:val="00443853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4C4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C31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C31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C315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31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3151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1281F"/>
    <w:pPr>
      <w:ind w:left="720"/>
      <w:contextualSpacing/>
    </w:pPr>
  </w:style>
  <w:style w:type="paragraph" w:styleId="Revisin">
    <w:name w:val="Revision"/>
    <w:hidden/>
    <w:uiPriority w:val="99"/>
    <w:semiHidden/>
    <w:rsid w:val="0038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6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elefonica.com/es/sala-comunicacion/telefonica-tech-integra-a-acens-y-refuerza-su-propuesta-de-valor-para-pymes-en-cloud/" TargetMode="External"/><Relationship Id="rId18" Type="http://schemas.openxmlformats.org/officeDocument/2006/relationships/hyperlink" Target="https://telefonicatech.com/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telefonicatech.com/es" TargetMode="External"/><Relationship Id="rId17" Type="http://schemas.openxmlformats.org/officeDocument/2006/relationships/hyperlink" Target="https://www.telefonica.com/es/sala-comunicacion/telefonica-multiplica-por-cinco-su-beneficio-neto-en-2021-8-137-millones-de-euro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elefonica.com/es/sala-comunicacion/telefonica-tech-adquiere-geprom-para-reforzar-sus-capacidades-en-industria-4-0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elefonica.com/es/sala-comunicacion/cancom-uki-empieza-a-operar-bajo-la-marca-telefonica-tech-uki/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elefonica.com/es/sala-comunicacion/telefonica-tech-adquiere-altostratus-y-consolida-su-liderazgo-en-cloud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48B1F5EABD05449F9C3FE83742DE70" ma:contentTypeVersion="12" ma:contentTypeDescription="Crear nuevo documento." ma:contentTypeScope="" ma:versionID="69249870d3751580ce39fb99c7295983">
  <xsd:schema xmlns:xsd="http://www.w3.org/2001/XMLSchema" xmlns:xs="http://www.w3.org/2001/XMLSchema" xmlns:p="http://schemas.microsoft.com/office/2006/metadata/properties" xmlns:ns2="13bdaff1-a530-4f11-8fec-0bfa9c5d1ec3" xmlns:ns3="3acc25f4-51ae-42f8-aeb5-e9530487b88e" targetNamespace="http://schemas.microsoft.com/office/2006/metadata/properties" ma:root="true" ma:fieldsID="113831e00069139fa7efbd524e3410f0" ns2:_="" ns3:_="">
    <xsd:import namespace="13bdaff1-a530-4f11-8fec-0bfa9c5d1ec3"/>
    <xsd:import namespace="3acc25f4-51ae-42f8-aeb5-e9530487b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Usuario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aff1-a530-4f11-8fec-0bfa9c5d1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suarios" ma:index="19" nillable="true" ma:displayName="Usuarios" ma:format="Dropdown" ma:list="UserInfo" ma:SharePointGroup="0" ma:internalName="Usuario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c25f4-51ae-42f8-aeb5-e9530487b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uarios xmlns="13bdaff1-a530-4f11-8fec-0bfa9c5d1ec3">
      <UserInfo>
        <DisplayName/>
        <AccountId xsi:nil="true"/>
        <AccountType/>
      </UserInfo>
    </Usuario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RQxQvPS+qSycvjviMSy30kk5xg==">AMUW2mVOBGvXhgVc0MJHfO9fCrfhjn9oX8xMROh4LHsk8Lhm8uIBC+fZDHqzzxnU5v9vd4/pP2XSgmfMHGHVnNPYjRxHuiQlBFjJ4+eO2UGXa45aYvsX2vY=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97754-C2B8-48BF-8024-38E8D455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daff1-a530-4f11-8fec-0bfa9c5d1ec3"/>
    <ds:schemaRef ds:uri="3acc25f4-51ae-42f8-aeb5-e9530487b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C7A3F-C6F4-4EB4-AC1C-532033CD922B}">
  <ds:schemaRefs>
    <ds:schemaRef ds:uri="http://schemas.microsoft.com/office/2006/metadata/properties"/>
    <ds:schemaRef ds:uri="http://schemas.microsoft.com/office/infopath/2007/PartnerControls"/>
    <ds:schemaRef ds:uri="13bdaff1-a530-4f11-8fec-0bfa9c5d1ec3"/>
  </ds:schemaRefs>
</ds:datastoreItem>
</file>

<file path=customXml/itemProps3.xml><?xml version="1.0" encoding="utf-8"?>
<ds:datastoreItem xmlns:ds="http://schemas.openxmlformats.org/officeDocument/2006/customXml" ds:itemID="{702E45E7-B3A5-4760-9388-3D9063B83B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C18CF550-C2F4-4F18-AE7A-CF7257A4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1178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Noelia Artigas</cp:lastModifiedBy>
  <cp:revision>3</cp:revision>
  <cp:lastPrinted>2022-03-21T09:55:00Z</cp:lastPrinted>
  <dcterms:created xsi:type="dcterms:W3CDTF">2022-03-21T09:45:00Z</dcterms:created>
  <dcterms:modified xsi:type="dcterms:W3CDTF">2022-03-21T11:56:00Z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0x010100AF48B1F5EABD05449F9C3FE83742DE70</vt:lpwstr>
  </property>
</Properties>
</file>